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00" w:after="10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Выдержки из СанПиН 2.4.4. 3155-13</w:t>
      </w:r>
    </w:p>
    <w:p>
      <w:pPr>
        <w:pStyle w:val="Normal"/>
        <w:tabs>
          <w:tab w:val="clear" w:pos="708"/>
          <w:tab w:val="left" w:pos="5280" w:leader="none"/>
        </w:tabs>
        <w:ind w:left="5390" w:hanging="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>
      <w:pPr>
        <w:pStyle w:val="Normal"/>
        <w:tabs>
          <w:tab w:val="clear" w:pos="708"/>
          <w:tab w:val="left" w:pos="5280" w:leader="none"/>
        </w:tabs>
        <w:ind w:left="5390" w:hanging="0"/>
        <w:rPr/>
      </w:pPr>
      <w:r>
        <w:rPr>
          <w:sz w:val="28"/>
          <w:szCs w:val="28"/>
        </w:rPr>
        <w:t>постановлением Главного государственного санитар</w:t>
        <w:softHyphen/>
        <w:t xml:space="preserve">ного врача Российской Федерации  </w:t>
      </w:r>
    </w:p>
    <w:p>
      <w:pPr>
        <w:pStyle w:val="Normal"/>
        <w:tabs>
          <w:tab w:val="clear" w:pos="708"/>
          <w:tab w:val="left" w:pos="5280" w:leader="none"/>
        </w:tabs>
        <w:ind w:left="5390" w:hang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>от  «27» декабря 2013г.   № 73</w:t>
      </w:r>
    </w:p>
    <w:p>
      <w:pPr>
        <w:pStyle w:val="Style16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134" w:leader="none"/>
        </w:tabs>
        <w:spacing w:before="0" w:after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Санитарно-эпидемиологические требования к устройству, содержанию и организации работы стационарных организаций отдыха и оздоровления детей</w:t>
      </w:r>
    </w:p>
    <w:p>
      <w:pPr>
        <w:pStyle w:val="Normal"/>
        <w:tabs>
          <w:tab w:val="clear" w:pos="708"/>
          <w:tab w:val="left" w:pos="1134" w:leader="none"/>
        </w:tabs>
        <w:spacing w:before="0" w:after="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tabs>
          <w:tab w:val="clear" w:pos="708"/>
          <w:tab w:val="left" w:pos="1134" w:leader="none"/>
        </w:tabs>
        <w:spacing w:before="0" w:after="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tabs>
          <w:tab w:val="clear" w:pos="708"/>
          <w:tab w:val="left" w:pos="1134" w:leader="none"/>
        </w:tabs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Санитарно-эпидемиологические правила и нормативы</w:t>
      </w:r>
    </w:p>
    <w:p>
      <w:pPr>
        <w:pStyle w:val="Normal"/>
        <w:tabs>
          <w:tab w:val="clear" w:pos="708"/>
          <w:tab w:val="left" w:pos="1134" w:leader="none"/>
        </w:tabs>
        <w:spacing w:before="0" w:after="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tabs>
          <w:tab w:val="clear" w:pos="708"/>
          <w:tab w:val="left" w:pos="1134" w:leader="none"/>
        </w:tabs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HTML1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СанПиН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2.4.4. 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3155-13</w:t>
      </w:r>
    </w:p>
    <w:p>
      <w:pPr>
        <w:pStyle w:val="Normal"/>
        <w:tabs>
          <w:tab w:val="clear" w:pos="708"/>
          <w:tab w:val="left" w:pos="1134" w:leader="none"/>
        </w:tabs>
        <w:spacing w:before="0" w:after="0"/>
        <w:jc w:val="center"/>
        <w:rPr/>
      </w:pPr>
      <w:r>
        <w:rPr>
          <w:sz w:val="28"/>
          <w:szCs w:val="28"/>
        </w:rPr>
        <w:t>____________________________________________________________________</w:t>
      </w:r>
    </w:p>
    <w:p>
      <w:pPr>
        <w:pStyle w:val="Normal"/>
        <w:tabs>
          <w:tab w:val="clear" w:pos="708"/>
          <w:tab w:val="left" w:pos="1134" w:leader="none"/>
        </w:tabs>
        <w:spacing w:before="0" w:after="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134" w:leader="none"/>
        </w:tabs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Общие положения и область применения</w:t>
      </w:r>
    </w:p>
    <w:p>
      <w:pPr>
        <w:pStyle w:val="Normal"/>
        <w:tabs>
          <w:tab w:val="clear" w:pos="708"/>
          <w:tab w:val="left" w:pos="1134" w:leader="none"/>
        </w:tabs>
        <w:spacing w:before="0" w:after="0"/>
        <w:ind w:left="1080"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Bodytext"/>
        <w:tabs>
          <w:tab w:val="clear" w:pos="708"/>
          <w:tab w:val="left" w:pos="1134" w:leader="none"/>
        </w:tabs>
        <w:ind w:firstLine="720"/>
        <w:rPr/>
      </w:pPr>
      <w:r>
        <w:rPr>
          <w:rFonts w:cs="Times New Roman" w:ascii="Times New Roman" w:hAnsi="Times New Roman"/>
          <w:sz w:val="28"/>
          <w:szCs w:val="28"/>
        </w:rPr>
        <w:t>1.1. Настоящие санитарно-эпидемиологические правила и нормативы (далее – санитарные правила) устанавливают санитарно-эпидемиологические требования к размещению, устройству, содержанию и организации работы стационарных организаций отдыха и оздоровления детей летнего, сезонного и круглогодичного функционирования (далее – детские оздоровительные лагеря).</w:t>
      </w:r>
    </w:p>
    <w:p>
      <w:pPr>
        <w:pStyle w:val="Bodytext"/>
        <w:tabs>
          <w:tab w:val="clear" w:pos="708"/>
          <w:tab w:val="left" w:pos="1134" w:leader="none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Санитарные правила направлены на обеспечение отдыха, оздоровления и укрепление здоровья детей, в том числе детей с ограниченными возможностями здоровья,  в период пребывания их в детских оздоровительных лагерях.</w:t>
      </w:r>
    </w:p>
    <w:p>
      <w:pPr>
        <w:pStyle w:val="Normal"/>
        <w:tabs>
          <w:tab w:val="clear" w:pos="708"/>
          <w:tab w:val="left" w:pos="1134" w:leader="none"/>
        </w:tabs>
        <w:spacing w:before="0" w:after="0"/>
        <w:ind w:firstLine="720"/>
        <w:jc w:val="both"/>
        <w:rPr/>
      </w:pPr>
      <w:r>
        <w:rPr>
          <w:sz w:val="28"/>
          <w:szCs w:val="28"/>
          <w:highlight w:val="yellow"/>
        </w:rPr>
        <w:t>1.7. Деятельность детских оздоровительных лагерей</w:t>
      </w:r>
      <w:r>
        <w:rPr>
          <w:rFonts w:cs="Calibri"/>
          <w:sz w:val="28"/>
          <w:szCs w:val="28"/>
          <w:highlight w:val="yellow"/>
        </w:rPr>
        <w:t xml:space="preserve"> </w:t>
      </w:r>
      <w:r>
        <w:rPr>
          <w:sz w:val="28"/>
          <w:szCs w:val="28"/>
          <w:highlight w:val="yellow"/>
        </w:rPr>
        <w:t>осуществляется при условии соответствия их требованиям настоящих санитарных правил.</w:t>
      </w:r>
      <w:r>
        <w:rPr>
          <w:sz w:val="28"/>
          <w:szCs w:val="28"/>
        </w:rPr>
        <w:t xml:space="preserve"> </w:t>
      </w:r>
    </w:p>
    <w:p>
      <w:pPr>
        <w:pStyle w:val="Normal"/>
        <w:autoSpaceDE w:val="false"/>
        <w:spacing w:before="0" w:after="0"/>
        <w:ind w:firstLine="720"/>
        <w:jc w:val="both"/>
        <w:rPr/>
      </w:pPr>
      <w:r>
        <w:rPr>
          <w:sz w:val="28"/>
          <w:szCs w:val="28"/>
        </w:rPr>
        <w:t>1.8. Работники детских оздоровительных лагерей проходят медицинские осмотры в установленном порядке</w:t>
      </w:r>
      <w:r>
        <w:rPr>
          <w:rStyle w:val="FootnoteCharacters"/>
          <w:rStyle w:val="FootnoteAnchor"/>
          <w:sz w:val="28"/>
          <w:szCs w:val="28"/>
        </w:rPr>
        <w:footnoteReference w:id="2"/>
      </w:r>
      <w:r>
        <w:rPr>
          <w:sz w:val="28"/>
          <w:szCs w:val="28"/>
        </w:rPr>
        <w:t xml:space="preserve"> и  должны быть привиты в соответствии с </w:t>
      </w:r>
      <w:hyperlink r:id="rId2">
        <w:r>
          <w:rPr>
            <w:rStyle w:val="InternetLink"/>
            <w:sz w:val="28"/>
            <w:szCs w:val="28"/>
          </w:rPr>
          <w:t>национальным календарем</w:t>
        </w:r>
      </w:hyperlink>
      <w:r>
        <w:rPr>
          <w:sz w:val="28"/>
          <w:szCs w:val="28"/>
        </w:rPr>
        <w:t xml:space="preserve"> профилактических прививок, а также по эпидемиологическим </w:t>
      </w:r>
      <w:hyperlink r:id="rId3">
        <w:r>
          <w:rPr>
            <w:rStyle w:val="InternetLink"/>
            <w:sz w:val="28"/>
            <w:szCs w:val="28"/>
          </w:rPr>
          <w:t>показаниям</w:t>
        </w:r>
        <w:r>
          <w:rPr>
            <w:rStyle w:val="FootnoteCharacters"/>
            <w:rStyle w:val="FootnoteAnchor"/>
            <w:sz w:val="28"/>
            <w:szCs w:val="28"/>
          </w:rPr>
          <w:footnoteReference w:id="3"/>
        </w:r>
      </w:hyperlink>
      <w:r>
        <w:rPr>
          <w:sz w:val="28"/>
          <w:szCs w:val="28"/>
        </w:rPr>
        <w:t>.</w:t>
      </w:r>
    </w:p>
    <w:p>
      <w:pPr>
        <w:pStyle w:val="Normal"/>
        <w:autoSpaceDE w:val="false"/>
        <w:spacing w:before="0" w:after="0"/>
        <w:ind w:firstLine="540"/>
        <w:jc w:val="both"/>
        <w:rPr/>
      </w:pPr>
      <w:r>
        <w:rPr>
          <w:sz w:val="28"/>
          <w:szCs w:val="28"/>
        </w:rPr>
        <w:t>Каждый работник детского оздоровительного лагеря должен иметь личную медицинскую книжку установленного образца,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highlight w:val="yellow"/>
        </w:rPr>
        <w:t>1.10. Прием детей в детский оздоровительный лагерь осуществляется при наличии заключения врача об отсутствии контактов с инфекционными больными, о состоянии здоровья детей и  сведений об имеющихся прививках.</w:t>
      </w:r>
    </w:p>
    <w:p>
      <w:pPr>
        <w:pStyle w:val="Heading1"/>
        <w:spacing w:before="0" w:after="0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HTML1"/>
        <w:tabs>
          <w:tab w:val="clear" w:pos="916"/>
          <w:tab w:val="left" w:pos="0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III</w:t>
      </w:r>
      <w:r>
        <w:rPr>
          <w:rFonts w:cs="Times New Roman" w:ascii="Times New Roman" w:hAnsi="Times New Roman"/>
          <w:b/>
          <w:sz w:val="28"/>
          <w:szCs w:val="28"/>
        </w:rPr>
        <w:t xml:space="preserve">. Требования к территории детского оздоровительного лагеря </w:t>
      </w:r>
    </w:p>
    <w:p>
      <w:pPr>
        <w:pStyle w:val="Normal"/>
        <w:autoSpaceDE w:val="false"/>
        <w:spacing w:before="0" w:after="0"/>
        <w:ind w:firstLine="709"/>
        <w:jc w:val="both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</w:r>
    </w:p>
    <w:p>
      <w:pPr>
        <w:pStyle w:val="HTML1"/>
        <w:tabs>
          <w:tab w:val="clear" w:pos="916"/>
          <w:tab w:val="left" w:pos="567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3.9. Перед открытием детского оздоровительного лагеря необходимо организовать и провести противоклещевую (акарицидную) обработку  его территории и мероприятия по борьбе с грызунами в целях профилактики клещевого энцефалита, клещевого боррелиоза и геморрагической лихорадки с почечным синдромом и других инфекционных болезней. После проведения обработок должен быть проведен контроль качества проведенных обработок против клещей и грызунов.</w:t>
      </w:r>
    </w:p>
    <w:p>
      <w:pPr>
        <w:pStyle w:val="HTML1"/>
        <w:tabs>
          <w:tab w:val="clear" w:pos="916"/>
          <w:tab w:val="left" w:pos="567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1134" w:leader="none"/>
        </w:tabs>
        <w:spacing w:before="0" w:after="0"/>
        <w:ind w:firstLine="720"/>
        <w:jc w:val="both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</w:r>
    </w:p>
    <w:p>
      <w:pPr>
        <w:pStyle w:val="Normal"/>
        <w:tabs>
          <w:tab w:val="clear" w:pos="708"/>
          <w:tab w:val="left" w:pos="1134" w:leader="none"/>
        </w:tabs>
        <w:spacing w:before="0" w:after="0"/>
        <w:ind w:firstLine="720"/>
        <w:jc w:val="center"/>
        <w:rPr/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Требования к зданиям, помещениям и оборудованию</w:t>
      </w:r>
    </w:p>
    <w:p>
      <w:pPr>
        <w:pStyle w:val="Normal"/>
        <w:tabs>
          <w:tab w:val="clear" w:pos="708"/>
          <w:tab w:val="left" w:pos="1134" w:leader="none"/>
        </w:tabs>
        <w:spacing w:before="0" w:after="0"/>
        <w:ind w:firstLine="720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HTML1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4.4. Площадь спальных помещений предусматривается из расчета не менее 4 м</w:t>
      </w:r>
      <w:r>
        <w:rPr>
          <w:rFonts w:cs="Times New Roman" w:ascii="Times New Roman" w:hAnsi="Times New Roman"/>
          <w:sz w:val="28"/>
          <w:szCs w:val="28"/>
          <w:vertAlign w:val="superscript"/>
        </w:rPr>
        <w:t xml:space="preserve">2 </w:t>
      </w:r>
      <w:r>
        <w:rPr>
          <w:rFonts w:cs="Times New Roman" w:ascii="Times New Roman" w:hAnsi="Times New Roman"/>
          <w:sz w:val="28"/>
          <w:szCs w:val="28"/>
        </w:rPr>
        <w:t xml:space="preserve">на ребенка. </w:t>
      </w:r>
    </w:p>
    <w:p>
      <w:pPr>
        <w:pStyle w:val="Normal"/>
        <w:tabs>
          <w:tab w:val="clear" w:pos="708"/>
          <w:tab w:val="left" w:pos="1134" w:leader="none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Набор и площади помещений для кружковых занятий и секций должны соответствовать санитарно-эпидемиологическим требованиям к организациям дополнительного образования детей.</w:t>
      </w:r>
    </w:p>
    <w:p>
      <w:pPr>
        <w:pStyle w:val="Normal"/>
        <w:tabs>
          <w:tab w:val="clear" w:pos="708"/>
          <w:tab w:val="left" w:pos="1134" w:leader="none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Спальные комнаты </w:t>
      </w:r>
      <w:r>
        <w:rPr>
          <w:bCs/>
          <w:sz w:val="28"/>
          <w:szCs w:val="28"/>
        </w:rPr>
        <w:t>должны быть</w:t>
      </w:r>
      <w:r>
        <w:rPr>
          <w:sz w:val="28"/>
          <w:szCs w:val="28"/>
        </w:rPr>
        <w:t xml:space="preserve"> отдельными для мальчиков и девочек и оборудованы стационарными кроватями. Допускается использование двухъярусных кроватей при условии соблюдения нормы площади на одного ребенка и числа проживающих в комнате. </w:t>
      </w:r>
    </w:p>
    <w:p>
      <w:pPr>
        <w:pStyle w:val="ConsPlusNormal"/>
        <w:widowControl/>
        <w:tabs>
          <w:tab w:val="clear" w:pos="708"/>
          <w:tab w:val="left" w:pos="1134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4.10. В помещениях столовой, спален, игровых, медицинского назначения устанавливаются москитные сетки на окна и распашные двери или проводятся другие мероприятия, направленные на предотвращение проникновения насекомых в помещения.</w:t>
      </w:r>
    </w:p>
    <w:p>
      <w:pPr>
        <w:pStyle w:val="Normal"/>
        <w:tabs>
          <w:tab w:val="clear" w:pos="708"/>
          <w:tab w:val="left" w:pos="1134" w:leader="none"/>
        </w:tabs>
        <w:spacing w:before="0"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/>
          <w:sz w:val="16"/>
          <w:szCs w:val="16"/>
        </w:rPr>
      </w:r>
    </w:p>
    <w:p>
      <w:pPr>
        <w:pStyle w:val="Normal"/>
        <w:tabs>
          <w:tab w:val="clear" w:pos="708"/>
          <w:tab w:val="left" w:pos="1134" w:leader="none"/>
        </w:tabs>
        <w:spacing w:before="0" w:after="0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V. Требования к водоснабжению и канализации</w:t>
      </w:r>
    </w:p>
    <w:p>
      <w:pPr>
        <w:pStyle w:val="ConsPlusNormal"/>
        <w:widowControl/>
        <w:tabs>
          <w:tab w:val="clear" w:pos="708"/>
          <w:tab w:val="left" w:pos="1134" w:leader="none"/>
        </w:tabs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tabs>
          <w:tab w:val="clear" w:pos="708"/>
          <w:tab w:val="left" w:pos="1134" w:leader="none"/>
        </w:tabs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5.2. Вода хозяйственно-питьевого назначения должна отвечать </w:t>
      </w:r>
      <w:r>
        <w:rPr>
          <w:rFonts w:cs="Times New Roman" w:ascii="Times New Roman" w:hAnsi="Times New Roman"/>
          <w:bCs/>
          <w:sz w:val="28"/>
          <w:szCs w:val="28"/>
        </w:rPr>
        <w:t>по показателям безопасности гигиеническим требованиям к качеству воды централизованных систем питьевого водоснабжения.</w:t>
      </w:r>
    </w:p>
    <w:p>
      <w:pPr>
        <w:pStyle w:val="ConsPlusNormal"/>
        <w:widowControl/>
        <w:tabs>
          <w:tab w:val="clear" w:pos="708"/>
          <w:tab w:val="left" w:pos="1134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5.3. Собственный источник водоснабжения должен отвечать санитарно-эпидемиологическим требованиям к источникам водоснабжения для питьевого назначения. </w:t>
      </w:r>
    </w:p>
    <w:p>
      <w:pPr>
        <w:pStyle w:val="Normal"/>
        <w:tabs>
          <w:tab w:val="clear" w:pos="708"/>
          <w:tab w:val="left" w:pos="1134" w:leader="none"/>
        </w:tabs>
        <w:spacing w:before="0" w:after="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5.4. Подводка холодной и горячей воды предусматривается в помещения медицинского назначения, столовой, туалеты, душевые, умывальные с ногомойками, комнаты гигиены девочек, умывальные перед обеденным залом, постирочную, помещения для хранения уборочного инвентаря и приготовления дезинфицирующих растворов.</w:t>
      </w:r>
    </w:p>
    <w:p>
      <w:pPr>
        <w:pStyle w:val="Normal"/>
        <w:tabs>
          <w:tab w:val="clear" w:pos="708"/>
          <w:tab w:val="left" w:pos="1134" w:leader="none"/>
        </w:tabs>
        <w:spacing w:before="0" w:after="0"/>
        <w:ind w:firstLine="709"/>
        <w:jc w:val="both"/>
        <w:textAlignment w:val="top"/>
        <w:rPr>
          <w:color w:val="22272F"/>
          <w:sz w:val="32"/>
          <w:szCs w:val="32"/>
          <w:shd w:fill="FFFFFF" w:val="clear"/>
        </w:rPr>
      </w:pPr>
      <w:r>
        <w:rPr>
          <w:color w:val="22272F"/>
          <w:sz w:val="32"/>
          <w:szCs w:val="32"/>
          <w:shd w:fill="FFFFFF" w:val="clear"/>
        </w:rPr>
      </w:r>
    </w:p>
    <w:p>
      <w:pPr>
        <w:pStyle w:val="Normal"/>
        <w:tabs>
          <w:tab w:val="clear" w:pos="708"/>
          <w:tab w:val="left" w:pos="1134" w:leader="none"/>
        </w:tabs>
        <w:spacing w:before="0" w:after="0"/>
        <w:ind w:firstLine="709"/>
        <w:jc w:val="both"/>
        <w:textAlignment w:val="top"/>
        <w:rPr>
          <w:b/>
          <w:b/>
          <w:sz w:val="28"/>
          <w:szCs w:val="28"/>
        </w:rPr>
      </w:pPr>
      <w:r>
        <w:rPr>
          <w:b/>
          <w:color w:val="22272F"/>
          <w:sz w:val="28"/>
          <w:szCs w:val="32"/>
          <w:shd w:fill="FFFFFF" w:val="clear"/>
        </w:rPr>
        <w:t>IV. Требования к зданиям, помещениям и оборудованию</w:t>
      </w:r>
    </w:p>
    <w:p>
      <w:pPr>
        <w:pStyle w:val="Normal"/>
        <w:tabs>
          <w:tab w:val="clear" w:pos="708"/>
          <w:tab w:val="left" w:pos="1134" w:leader="none"/>
        </w:tabs>
        <w:spacing w:before="0" w:after="0"/>
        <w:ind w:firstLine="720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4.12. Помещения санитарно-бытового назначения для детей предусматриваются раздельными для мальчиков и девочек. Каждая туалетная комната оборудуется умывальниками и туалетными кабинами с дверями.</w:t>
      </w:r>
    </w:p>
    <w:p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Рекомендуется предусматривать комнаты личной гигиены девочек, оборудованные гибким шлангом, умывальником, поддоном, сливом.</w:t>
      </w:r>
    </w:p>
    <w:p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 вновь строящихся зданиях оборудуются помещения санитарно-бытового назначения из расчета: туалетные - не менее - 2 унитазов на 16 девочек; 1 унитаз и 1 писсуар на 16 мальчиков; душевые - душевыми кабинами не менее - 1 рожок (сетка) на 16 человек; умывальные - не менее 1 умывальника на 5 человек и не менее 2 ногомоек на 16 человек; рекомендуется предусматривать комнаты личной гигиены девочек.</w:t>
      </w:r>
    </w:p>
    <w:p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 вновь строящихся зданиях туалеты и душевые кабины рекомендуется оборудовать при каждом спальном помещении.</w:t>
      </w:r>
    </w:p>
    <w:p>
      <w:pPr>
        <w:pStyle w:val="ConsNormal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Normal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X</w:t>
      </w:r>
      <w:r>
        <w:rPr>
          <w:rFonts w:cs="Times New Roman" w:ascii="Times New Roman" w:hAnsi="Times New Roman"/>
          <w:b/>
          <w:sz w:val="28"/>
          <w:szCs w:val="28"/>
        </w:rPr>
        <w:t>. Требования к организации питания детей</w:t>
      </w:r>
    </w:p>
    <w:p>
      <w:pPr>
        <w:pStyle w:val="Normal"/>
        <w:autoSpaceDE w:val="false"/>
        <w:spacing w:before="0" w:after="0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</w:r>
    </w:p>
    <w:p>
      <w:pPr>
        <w:pStyle w:val="Normal"/>
        <w:autoSpaceDE w:val="false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10.1.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1. </w:t>
      </w:r>
    </w:p>
    <w:p>
      <w:pPr>
        <w:pStyle w:val="ConsPlusNormal"/>
        <w:widowControl/>
        <w:numPr>
          <w:ilvl w:val="0"/>
          <w:numId w:val="0"/>
        </w:numPr>
        <w:tabs>
          <w:tab w:val="clear" w:pos="708"/>
          <w:tab w:val="left" w:pos="5812" w:leader="none"/>
          <w:tab w:val="left" w:pos="7513" w:leader="none"/>
        </w:tabs>
        <w:ind w:firstLine="5670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ConsPlusNormal"/>
        <w:widowControl/>
        <w:numPr>
          <w:ilvl w:val="0"/>
          <w:numId w:val="0"/>
        </w:numPr>
        <w:tabs>
          <w:tab w:val="clear" w:pos="708"/>
          <w:tab w:val="left" w:pos="5812" w:leader="none"/>
          <w:tab w:val="left" w:pos="7513" w:leader="none"/>
        </w:tabs>
        <w:ind w:firstLine="567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Таблица 1</w:t>
      </w:r>
    </w:p>
    <w:p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autoSpaceDE w:val="false"/>
        <w:jc w:val="center"/>
        <w:rPr>
          <w:sz w:val="28"/>
          <w:szCs w:val="28"/>
        </w:rPr>
      </w:pPr>
      <w:r>
        <w:rPr>
          <w:sz w:val="28"/>
          <w:szCs w:val="28"/>
        </w:rPr>
        <w:t>Суточная потребность в пищевых веществах и энергии детей</w:t>
      </w:r>
    </w:p>
    <w:p>
      <w:pPr>
        <w:pStyle w:val="Normal"/>
        <w:autoSpaceDE w:val="false"/>
        <w:jc w:val="center"/>
        <w:rPr>
          <w:sz w:val="20"/>
          <w:szCs w:val="28"/>
        </w:rPr>
      </w:pPr>
      <w:r>
        <w:rPr>
          <w:sz w:val="20"/>
          <w:szCs w:val="28"/>
        </w:rPr>
      </w:r>
    </w:p>
    <w:tbl>
      <w:tblPr>
        <w:tblW w:w="10005" w:type="dxa"/>
        <w:jc w:val="left"/>
        <w:tblInd w:w="-7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185"/>
        <w:gridCol w:w="2970"/>
        <w:gridCol w:w="2850"/>
      </w:tblGrid>
      <w:tr>
        <w:trPr>
          <w:trHeight w:val="360" w:hRule="atLeast"/>
          <w:cantSplit w:val="true"/>
        </w:trPr>
        <w:tc>
          <w:tcPr>
            <w:tcW w:w="4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Название пищевых веществ</w:t>
            </w:r>
          </w:p>
        </w:tc>
        <w:tc>
          <w:tcPr>
            <w:tcW w:w="5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Усредненная потребность в пищевых     </w:t>
              <w:br/>
              <w:t>веществах для детей возрастных групп:</w:t>
            </w:r>
          </w:p>
        </w:tc>
      </w:tr>
      <w:tr>
        <w:trPr>
          <w:trHeight w:val="240" w:hRule="atLeast"/>
          <w:cantSplit w:val="true"/>
        </w:trPr>
        <w:tc>
          <w:tcPr>
            <w:tcW w:w="4185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Cell"/>
              <w:widowControl/>
              <w:snapToGrid w:val="fals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Cell"/>
              <w:widowControl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7-10 лет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 11 лет и старше</w:t>
            </w:r>
          </w:p>
        </w:tc>
      </w:tr>
      <w:tr>
        <w:trPr>
          <w:trHeight w:val="240" w:hRule="atLeast"/>
          <w:cantSplit w:val="true"/>
        </w:trPr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Белки (г)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76,5</w:t>
            </w:r>
          </w:p>
        </w:tc>
      </w:tr>
      <w:tr>
        <w:trPr>
          <w:trHeight w:val="240" w:hRule="atLeast"/>
          <w:cantSplit w:val="true"/>
        </w:trPr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Жиры (г)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85</w:t>
            </w:r>
          </w:p>
        </w:tc>
      </w:tr>
      <w:tr>
        <w:trPr>
          <w:trHeight w:val="480" w:hRule="atLeast"/>
          <w:cantSplit w:val="true"/>
        </w:trPr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Углеводы (г)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305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370,2</w:t>
            </w:r>
          </w:p>
        </w:tc>
      </w:tr>
      <w:tr>
        <w:trPr>
          <w:trHeight w:val="480" w:hRule="atLeast"/>
          <w:cantSplit w:val="true"/>
        </w:trPr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Энергетическая ценность - </w:t>
              <w:br/>
              <w:t xml:space="preserve">калорийность (ккал) &lt;*&gt;      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2100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2550</w:t>
            </w:r>
          </w:p>
        </w:tc>
      </w:tr>
    </w:tbl>
    <w:p>
      <w:pPr>
        <w:pStyle w:val="Normal"/>
        <w:spacing w:before="0" w:after="0"/>
        <w:rPr>
          <w:sz w:val="28"/>
          <w:szCs w:val="28"/>
        </w:rPr>
      </w:pPr>
      <w:r>
        <w:rPr>
          <w:sz w:val="22"/>
          <w:szCs w:val="26"/>
        </w:rPr>
        <w:t>* без учета повышенных энерготрат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outlineLvl w:val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Con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10.2.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Питание должно быть организовано в соответствии с примерным меню, утвержденным руководителем детского оздоровительного лагеря,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пищевых продуктов для организации питания детей (Приложение № 7). В круглогодичных детских оздоровительных лагерях разрабатывается сезонное меню. </w:t>
      </w:r>
    </w:p>
    <w:p>
      <w:pPr>
        <w:pStyle w:val="Normal"/>
        <w:spacing w:before="0" w:after="0"/>
        <w:ind w:firstLine="709"/>
        <w:jc w:val="both"/>
        <w:rPr/>
      </w:pPr>
      <w:r>
        <w:rPr>
          <w:sz w:val="28"/>
          <w:szCs w:val="28"/>
        </w:rPr>
        <w:t>10.5.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2.</w:t>
      </w:r>
    </w:p>
    <w:p>
      <w:pPr>
        <w:pStyle w:val="Normal"/>
        <w:spacing w:before="0" w:after="0"/>
        <w:ind w:firstLine="72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2 </w:t>
      </w:r>
    </w:p>
    <w:p>
      <w:pPr>
        <w:pStyle w:val="Normal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Рекомендуемое распределение калорийности </w:t>
      </w:r>
    </w:p>
    <w:p>
      <w:pPr>
        <w:pStyle w:val="Normal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между приемами пищи в течение дня</w:t>
      </w:r>
    </w:p>
    <w:p>
      <w:pPr>
        <w:pStyle w:val="Normal"/>
        <w:tabs>
          <w:tab w:val="clear" w:pos="708"/>
          <w:tab w:val="left" w:pos="1134" w:leader="none"/>
        </w:tabs>
        <w:spacing w:before="0" w:after="0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5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95"/>
      </w:tblGrid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before="0" w:after="0"/>
              <w:ind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Прием пищи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before="0" w:after="0"/>
              <w:ind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Доля суточной потребности в энергии, %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before="0" w:after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before="0" w:after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20-30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before="0" w:after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before="0" w:after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35-40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before="0" w:after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полдник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before="0" w:after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10-15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before="0" w:after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ужин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before="0" w:after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20-30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before="0" w:after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before="0" w:after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>
      <w:pPr>
        <w:pStyle w:val="ConsPlusNormal"/>
        <w:widowControl/>
        <w:tabs>
          <w:tab w:val="clear" w:pos="708"/>
          <w:tab w:val="left" w:pos="1134" w:leader="none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tabs>
          <w:tab w:val="clear" w:pos="708"/>
          <w:tab w:val="left" w:pos="1134" w:leader="none"/>
        </w:tabs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Отступления от норм калорийности по отдельным приемам пищи в течение дня допускается в пределах ±5% при условии, что средний процент калорийности приемов пищи за смену будет соответствовать вышеперечисленным требованиям.</w:t>
      </w:r>
    </w:p>
    <w:p>
      <w:pPr>
        <w:pStyle w:val="Norma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10.7. Завтрак должен состоять из горячего блюда, бутерброда и горячего напитка. Обед должен включать закуску (салат или порционные овощи, сельдь с луком), первое горячее блюдо, второе горячее блюдо, напиток. Полдник включает напиток (молоко, кисломолочные напитки, соки, чай) с булочными или кондитерскими изделиями без крема, фрукты;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Второй ужин включает кисломолочный напиток (можно дополнить кондитерским изделием (печенье, вафли и другое).</w:t>
      </w:r>
    </w:p>
    <w:p>
      <w:pPr>
        <w:pStyle w:val="Con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10.8. В примерном меню предусматривается ежедневное использование в питании детей: молока, кисломолочных напитков, мяса, картофеля, овощей, фруктов, хлеба, круп, сливочного и растительного масла, сахара, соли. Остальные продукты (творог, сметана, птица, рыба, сыр, яйцо, соки и другие) включаются не реже 2 раз в неделю. </w:t>
      </w:r>
    </w:p>
    <w:p>
      <w:pPr>
        <w:pStyle w:val="Normal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При составлении меню учитываются национальные и территориальные особенности питания населения и состояние здоровья детей.  </w:t>
      </w:r>
    </w:p>
    <w:p>
      <w:pPr>
        <w:pStyle w:val="Normal"/>
        <w:tabs>
          <w:tab w:val="clear" w:pos="708"/>
          <w:tab w:val="left" w:pos="1134" w:leader="none"/>
        </w:tabs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10.10. Для детей должен быть организован круглосуточно питьевой режим. Вода должна отвечать требованиям безопасности к питьевой воде. </w:t>
      </w:r>
    </w:p>
    <w:p>
      <w:pPr>
        <w:pStyle w:val="ConsPlusNormal"/>
        <w:widowControl/>
        <w:tabs>
          <w:tab w:val="clear" w:pos="708"/>
          <w:tab w:val="left" w:pos="1134" w:leader="none"/>
        </w:tabs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Питьевой режим организуется в следующих формах: стационарные питьевые фонтанчики; вода промышленного производства, расфасованная в емкости (бутилированная) негазированная; кипяченая вода (кипячение в течение не менее 5 минут от момента закипания). </w:t>
      </w:r>
    </w:p>
    <w:p>
      <w:pPr>
        <w:pStyle w:val="Normal"/>
        <w:tabs>
          <w:tab w:val="clear" w:pos="708"/>
          <w:tab w:val="left" w:pos="1134" w:leader="none"/>
        </w:tabs>
        <w:spacing w:before="0" w:after="0"/>
        <w:ind w:firstLine="567"/>
        <w:jc w:val="center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</w:r>
    </w:p>
    <w:p>
      <w:pPr>
        <w:pStyle w:val="Normal"/>
        <w:tabs>
          <w:tab w:val="clear" w:pos="708"/>
          <w:tab w:val="left" w:pos="1134" w:leader="none"/>
        </w:tabs>
        <w:spacing w:before="0" w:after="0"/>
        <w:ind w:firstLine="567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tabs>
          <w:tab w:val="clear" w:pos="708"/>
          <w:tab w:val="left" w:pos="1134" w:leader="none"/>
        </w:tabs>
        <w:spacing w:before="0" w:after="0"/>
        <w:ind w:firstLine="567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</w:t>
      </w:r>
      <w:r>
        <w:rPr>
          <w:b/>
          <w:sz w:val="28"/>
          <w:szCs w:val="28"/>
        </w:rPr>
        <w:t xml:space="preserve">. Требования к режиму дня </w:t>
      </w:r>
    </w:p>
    <w:p>
      <w:pPr>
        <w:pStyle w:val="Normal"/>
        <w:tabs>
          <w:tab w:val="clear" w:pos="708"/>
          <w:tab w:val="left" w:pos="1134" w:leader="none"/>
        </w:tabs>
        <w:spacing w:before="0" w:after="0"/>
        <w:ind w:firstLine="567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ConsNormal"/>
        <w:widowControl/>
        <w:tabs>
          <w:tab w:val="clear" w:pos="708"/>
          <w:tab w:val="left" w:pos="1134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11.1. Режим дня должен предусматривать: продолжительность ночного сна не менее 9 часов (для детей от 7 до 10 лет не менее 10 часов), дневного сна (отдыха) – не менее 1,5 часов, питание детей не менее </w:t>
      </w:r>
      <w:r>
        <w:rPr>
          <w:rFonts w:cs="Times New Roman" w:ascii="Times New Roman" w:hAnsi="Times New Roman"/>
          <w:bCs/>
          <w:sz w:val="28"/>
          <w:szCs w:val="28"/>
        </w:rPr>
        <w:t>5</w:t>
      </w:r>
      <w:r>
        <w:rPr>
          <w:rFonts w:cs="Times New Roman" w:ascii="Times New Roman" w:hAnsi="Times New Roman"/>
          <w:sz w:val="28"/>
          <w:szCs w:val="28"/>
        </w:rPr>
        <w:t xml:space="preserve"> раз (завтрак, обед, полдник, ужин, </w:t>
      </w:r>
      <w:r>
        <w:rPr>
          <w:rFonts w:cs="Times New Roman" w:ascii="Times New Roman" w:hAnsi="Times New Roman"/>
          <w:bCs/>
          <w:sz w:val="28"/>
          <w:szCs w:val="28"/>
        </w:rPr>
        <w:t>второй ужин</w:t>
      </w:r>
      <w:r>
        <w:rPr>
          <w:rFonts w:cs="Times New Roman" w:ascii="Times New Roman" w:hAnsi="Times New Roman"/>
          <w:sz w:val="28"/>
          <w:szCs w:val="28"/>
        </w:rPr>
        <w:t>), проведение утренней зарядки, спортивных и культурно-массовых мероприятий, гигиенических, оздоровительных и закаливающих (водных, воздушных) процедур, а также отдых и свободное время. Утренний подъем детей проводится не ранее 8 часов.</w:t>
      </w:r>
    </w:p>
    <w:p>
      <w:pPr>
        <w:pStyle w:val="TextBodyIndent"/>
        <w:ind w:firstLine="709"/>
        <w:rPr/>
      </w:pPr>
      <w:r>
        <w:rPr>
          <w:sz w:val="28"/>
          <w:szCs w:val="28"/>
        </w:rPr>
        <w:t>Для детей 15 лет и старше допускается замена дневного сна на чтение книг и настольные игры.</w:t>
      </w:r>
    </w:p>
    <w:p>
      <w:pPr>
        <w:pStyle w:val="Normal"/>
        <w:autoSpaceDE w:val="false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yellow"/>
        </w:rPr>
        <w:t>11.6. Купание детей в открытых водоемах рекомендуется проводить в солнечные и безветренные дни, при температуре воздуха не ниже +23</w:t>
      </w:r>
      <w:r>
        <w:rPr>
          <w:sz w:val="28"/>
          <w:szCs w:val="28"/>
          <w:highlight w:val="yellow"/>
          <w:vertAlign w:val="superscript"/>
        </w:rPr>
        <w:t>0</w:t>
      </w:r>
      <w:r>
        <w:rPr>
          <w:sz w:val="28"/>
          <w:szCs w:val="28"/>
          <w:highlight w:val="yellow"/>
        </w:rPr>
        <w:t>С и температуре воды не ниже +20</w:t>
      </w:r>
      <w:r>
        <w:rPr>
          <w:sz w:val="28"/>
          <w:szCs w:val="28"/>
          <w:highlight w:val="yellow"/>
          <w:vertAlign w:val="superscript"/>
        </w:rPr>
        <w:t>0</w:t>
      </w:r>
      <w:r>
        <w:rPr>
          <w:sz w:val="28"/>
          <w:szCs w:val="28"/>
          <w:highlight w:val="yellow"/>
        </w:rPr>
        <w:t>С. Рекомендуемая продолжительность непрерывного пребывания в воде в первые дни 2-5 минут с постепенным увеличением до 10-15 минут. Купание сразу после приема пищи (менее 30 минут) не рекомендуется.</w:t>
      </w:r>
      <w:r>
        <w:rPr>
          <w:sz w:val="28"/>
          <w:szCs w:val="28"/>
        </w:rPr>
        <w:t xml:space="preserve"> </w:t>
      </w:r>
    </w:p>
    <w:p>
      <w:pPr>
        <w:pStyle w:val="Normal"/>
        <w:autoSpaceDE w:val="false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yellow"/>
        </w:rPr>
        <w:t>При организации купания детей присутствие медицинского работника обязательно.</w:t>
      </w:r>
    </w:p>
    <w:p>
      <w:pPr>
        <w:pStyle w:val="HTML1"/>
        <w:tabs>
          <w:tab w:val="clear" w:pos="916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11.8. Купание детей осуществляется в специально отведенных и оборудованных местах. </w:t>
      </w:r>
    </w:p>
    <w:p>
      <w:pPr>
        <w:pStyle w:val="Normal"/>
        <w:autoSpaceDE w:val="false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11.9. С учетом воспитательной и оздоровительной направленности детские оздоровительные лагеря в соответствии с их возрастом возможна организация следующих видов работ. Для детей </w:t>
      </w:r>
      <w:r>
        <w:rPr>
          <w:sz w:val="26"/>
          <w:szCs w:val="26"/>
        </w:rPr>
        <w:t xml:space="preserve">7 </w:t>
      </w:r>
      <w:r>
        <w:rPr>
          <w:sz w:val="28"/>
          <w:szCs w:val="28"/>
        </w:rPr>
        <w:t>- 13 лет допускается уборка постелей, сбор ягод и лекарственных трав под наблюдением воспитателя; для детей старше 14 лет - уборка спальных комнат, дежурство по столовой (сервировка обеденных столов, уборка грязной посуды, уборка обеденного зала).</w:t>
      </w:r>
    </w:p>
    <w:p>
      <w:pPr>
        <w:pStyle w:val="Normal"/>
        <w:autoSpaceDE w:val="false"/>
        <w:spacing w:before="0" w:after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11.13.</w:t>
      </w:r>
      <w:r>
        <w:rPr/>
        <w:t xml:space="preserve"> </w:t>
      </w:r>
      <w:r>
        <w:rPr>
          <w:sz w:val="28"/>
          <w:szCs w:val="28"/>
        </w:rPr>
        <w:t xml:space="preserve">Встречи детей с посетителями, в том числе с законными представителями детей проводятся в соответствии с установленным руководителем детского оздоровительного лагере распорядком дня. </w:t>
      </w:r>
      <w:r>
        <w:rPr>
          <w:sz w:val="28"/>
          <w:szCs w:val="28"/>
          <w:highlight w:val="yellow"/>
        </w:rPr>
        <w:t>Не допускается пребывание на территории детского оздоровительного лагеря посетителей, в том числе законных представителей детей вне специально установленных мест.</w:t>
      </w:r>
    </w:p>
    <w:p>
      <w:pPr>
        <w:pStyle w:val="Normal"/>
        <w:autoSpaceDE w:val="false"/>
        <w:spacing w:before="0" w:after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Normal"/>
        <w:autoSpaceDE w:val="false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TML1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numPr>
          <w:ilvl w:val="0"/>
          <w:numId w:val="0"/>
        </w:numPr>
        <w:autoSpaceDE w:val="false"/>
        <w:spacing w:before="0"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autoSpaceDE w:val="false"/>
        <w:spacing w:before="0" w:after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jc w:val="right"/>
        <w:outlineLvl w:val="1"/>
        <w:rPr>
          <w:sz w:val="28"/>
          <w:szCs w:val="28"/>
          <w:lang w:val="en-US"/>
        </w:rPr>
      </w:pPr>
      <w:r>
        <w:rPr>
          <w:sz w:val="28"/>
          <w:szCs w:val="28"/>
        </w:rPr>
        <w:t>к СанПиН 2.4.4.</w:t>
      </w:r>
      <w:r>
        <w:rPr>
          <w:sz w:val="28"/>
          <w:szCs w:val="28"/>
          <w:lang w:val="en-US"/>
        </w:rPr>
        <w:t>3155-13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jc w:val="right"/>
        <w:outlineLvl w:val="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autoSpaceDE w:val="false"/>
        <w:spacing w:before="0" w:after="0"/>
        <w:ind w:firstLine="5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spacing w:before="0" w:after="0"/>
        <w:jc w:val="center"/>
        <w:rPr>
          <w:sz w:val="28"/>
          <w:szCs w:val="28"/>
          <w:highlight w:val="yellow"/>
        </w:rPr>
      </w:pPr>
      <w:bookmarkStart w:id="0" w:name="Par1450"/>
      <w:bookmarkEnd w:id="0"/>
      <w:r>
        <w:rPr>
          <w:sz w:val="28"/>
          <w:szCs w:val="28"/>
          <w:highlight w:val="yellow"/>
        </w:rPr>
        <w:t xml:space="preserve">Пищевые продукты, которые не допускается </w:t>
      </w:r>
    </w:p>
    <w:p>
      <w:pPr>
        <w:pStyle w:val="Normal"/>
        <w:autoSpaceDE w:val="false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  <w:highlight w:val="yellow"/>
        </w:rPr>
        <w:t>использовать в питании детей:</w:t>
      </w:r>
    </w:p>
    <w:p>
      <w:pPr>
        <w:pStyle w:val="Normal"/>
        <w:autoSpaceDE w:val="false"/>
        <w:spacing w:before="0" w:after="0"/>
        <w:ind w:firstLine="53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spacing w:before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 Мясо и мясопродукты:</w:t>
      </w:r>
    </w:p>
    <w:p>
      <w:pPr>
        <w:pStyle w:val="Normal"/>
        <w:autoSpaceDE w:val="false"/>
        <w:spacing w:before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мясо и субпродукты всех видов сельскохозяйственных животных, не прошедшие ветеринарный контроль;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мясо диких животных;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коллагенсодержащее сырье из мяса птицы;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мясо третьей и четвертой категории;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мясо с массовой долей костей, жировой и соединительной ткани свыше 20%;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субпродукты, кроме печени, языка, сердца;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кровяные и ливерные колбасы;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непотрошеная птица;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мясо водоплавающих птиц.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firstLine="539"/>
        <w:jc w:val="both"/>
        <w:outlineLvl w:val="1"/>
        <w:rPr/>
      </w:pPr>
      <w:r>
        <w:rPr>
          <w:sz w:val="28"/>
          <w:szCs w:val="28"/>
        </w:rPr>
        <w:t>2. Блюда, изготовленные из мяса, птицы, рыбы: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рыба, не прошедшая ветеринарный контроль;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firstLine="539"/>
        <w:jc w:val="both"/>
        <w:outlineLvl w:val="1"/>
        <w:rPr/>
      </w:pPr>
      <w:r>
        <w:rPr>
          <w:sz w:val="28"/>
          <w:szCs w:val="28"/>
        </w:rPr>
        <w:t>- зельцы, изделия из мясной обрези, диафрагмы; рулеты из мякоти голов;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блюда, не прошедшие тепловую обработку, кроме соленой рыбы (сельдь, семга, форель).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firstLine="539"/>
        <w:jc w:val="both"/>
        <w:outlineLvl w:val="1"/>
        <w:rPr/>
      </w:pPr>
      <w:r>
        <w:rPr>
          <w:sz w:val="28"/>
          <w:szCs w:val="28"/>
        </w:rPr>
        <w:t>3. Консервы: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firstLine="539"/>
        <w:jc w:val="both"/>
        <w:outlineLvl w:val="1"/>
        <w:rPr/>
      </w:pPr>
      <w:r>
        <w:rPr>
          <w:sz w:val="28"/>
          <w:szCs w:val="28"/>
        </w:rPr>
        <w:t>- консервы с нарушением герметичности банок, бомбажные, банки с ржавчиной, деформированные, без этикеток.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firstLine="539"/>
        <w:jc w:val="both"/>
        <w:outlineLvl w:val="1"/>
        <w:rPr/>
      </w:pPr>
      <w:r>
        <w:rPr>
          <w:sz w:val="28"/>
          <w:szCs w:val="28"/>
        </w:rPr>
        <w:t>4. Пищевые жиры: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firstLine="539"/>
        <w:jc w:val="both"/>
        <w:outlineLvl w:val="1"/>
        <w:rPr/>
      </w:pPr>
      <w:r>
        <w:rPr>
          <w:sz w:val="28"/>
          <w:szCs w:val="28"/>
        </w:rP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сливочное масло жирностью ниже 72%;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firstLine="539"/>
        <w:jc w:val="both"/>
        <w:outlineLvl w:val="1"/>
        <w:rPr/>
      </w:pPr>
      <w:r>
        <w:rPr>
          <w:sz w:val="28"/>
          <w:szCs w:val="28"/>
        </w:rPr>
        <w:t>- жареные в жире (во фритюре) пищевые продукты и кулинарные изделия, чипсы.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firstLine="539"/>
        <w:jc w:val="both"/>
        <w:outlineLvl w:val="1"/>
        <w:rPr/>
      </w:pPr>
      <w:r>
        <w:rPr>
          <w:sz w:val="28"/>
          <w:szCs w:val="28"/>
        </w:rPr>
        <w:t>5. Молоко и молочные продукты: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firstLine="539"/>
        <w:jc w:val="both"/>
        <w:outlineLvl w:val="1"/>
        <w:rPr/>
      </w:pPr>
      <w:r>
        <w:rPr>
          <w:sz w:val="28"/>
          <w:szCs w:val="28"/>
        </w:rPr>
        <w:t xml:space="preserve">- молоко и молочные продукты из хозяйств, неблагополучных по заболеваемости сельскохозяйственных животных; 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молоко, не прошедшее пастеризацию;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молочные продукты, творожные сырки с использованием растительных жиров;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молочные продукты и мороженое на основе растительных жиров;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творог из непастеризованного молока;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фляжная сметана и фляжный творог без термической обработки;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простокваша "самоквас".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firstLine="539"/>
        <w:jc w:val="both"/>
        <w:outlineLvl w:val="1"/>
        <w:rPr/>
      </w:pPr>
      <w:r>
        <w:rPr>
          <w:sz w:val="28"/>
          <w:szCs w:val="28"/>
        </w:rPr>
        <w:t>6. Яйца: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яйца водоплавающих птиц;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яйца с загрязненной скорлупой, с насечкой, "тек", "бой";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яйца из хозяйств, неблагополучных по сальмонеллезам.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firstLine="539"/>
        <w:jc w:val="both"/>
        <w:outlineLvl w:val="1"/>
        <w:rPr/>
      </w:pPr>
      <w:r>
        <w:rPr>
          <w:sz w:val="28"/>
          <w:szCs w:val="28"/>
        </w:rPr>
        <w:t>7. Кондитерские изделия: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кремовые кондитерские изделия (пирожные и торты) и кремы.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firstLine="539"/>
        <w:jc w:val="both"/>
        <w:outlineLvl w:val="1"/>
        <w:rPr/>
      </w:pPr>
      <w:r>
        <w:rPr>
          <w:sz w:val="28"/>
          <w:szCs w:val="28"/>
        </w:rPr>
        <w:t>8. Прочие продукты и блюда: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firstLine="539"/>
        <w:jc w:val="both"/>
        <w:outlineLvl w:val="1"/>
        <w:rPr/>
      </w:pPr>
      <w:r>
        <w:rPr>
          <w:sz w:val="28"/>
          <w:szCs w:val="28"/>
        </w:rPr>
        <w:t>- пищевые продукты с истекшим сроком годности и признаками недоброкачественности;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firstLine="539"/>
        <w:jc w:val="both"/>
        <w:outlineLvl w:val="1"/>
        <w:rPr/>
      </w:pPr>
      <w:r>
        <w:rPr>
          <w:sz w:val="28"/>
          <w:szCs w:val="28"/>
        </w:rPr>
        <w:t>- остатки пищи от предыдущего приема пищи, приготовленной накануне;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firstLine="539"/>
        <w:jc w:val="both"/>
        <w:outlineLvl w:val="1"/>
        <w:rPr/>
      </w:pPr>
      <w:r>
        <w:rPr>
          <w:sz w:val="28"/>
          <w:szCs w:val="28"/>
        </w:rP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рождения);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firstLine="539"/>
        <w:jc w:val="both"/>
        <w:outlineLvl w:val="1"/>
        <w:rPr/>
      </w:pPr>
      <w:r>
        <w:rPr>
          <w:sz w:val="28"/>
          <w:szCs w:val="28"/>
        </w:rPr>
        <w:t>- первые и вторые блюда на основе сухих пищевых концентратов быстрого приготовления;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окрошки и холодные супы;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firstLine="539"/>
        <w:jc w:val="both"/>
        <w:outlineLvl w:val="1"/>
        <w:rPr/>
      </w:pPr>
      <w:r>
        <w:rPr>
          <w:sz w:val="28"/>
          <w:szCs w:val="28"/>
        </w:rPr>
        <w:t>- макароны по-флотски (с мясным фаршем), макароны с рубленым яйцом;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яичница-глазунья;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паштеты и блинчики с мясом и творогом;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заливные блюда (мясные и рыбные), студни, форшмак из сельди;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сырокопченые мясные гастрономические изделия и колбасы;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firstLine="539"/>
        <w:jc w:val="both"/>
        <w:outlineLvl w:val="1"/>
        <w:rPr/>
      </w:pPr>
      <w:r>
        <w:rPr>
          <w:sz w:val="28"/>
          <w:szCs w:val="28"/>
        </w:rPr>
        <w:t>- крупы, мука, сухофрукты и другие продукты, загрязненные различными примесями или зараженные амбарными вредителями;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грибы и кулинарные изделия, из них приготовленные;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квас, газированные напитки;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firstLine="539"/>
        <w:jc w:val="both"/>
        <w:outlineLvl w:val="1"/>
        <w:rPr/>
      </w:pPr>
      <w:r>
        <w:rPr>
          <w:sz w:val="28"/>
          <w:szCs w:val="28"/>
        </w:rP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плодоовощная продукция с признаками порчи;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firstLine="539"/>
        <w:jc w:val="both"/>
        <w:outlineLvl w:val="1"/>
        <w:rPr/>
      </w:pPr>
      <w:r>
        <w:rPr>
          <w:sz w:val="28"/>
          <w:szCs w:val="28"/>
        </w:rP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кофе натуральный;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firstLine="539"/>
        <w:jc w:val="both"/>
        <w:outlineLvl w:val="1"/>
        <w:rPr/>
      </w:pPr>
      <w:r>
        <w:rPr>
          <w:sz w:val="28"/>
          <w:szCs w:val="28"/>
        </w:rPr>
        <w:t>- тонизирующие напитки, в том числе энергетические напитки, алкоголь;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холодные напитки и морсы (без термической обработки) из плодово-ягодного сырья;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ядра абрикосовой косточки, арахиса;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карамель, в том числе леденцовая;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left="539" w:hanging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продукты, в том числе кондитерские изделия, содержащие алкоголь; 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left="539" w:hanging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кумыс и другие кисломолочные продукты с содержанием этанола (более 0,5%);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жевательная резинка.</w:t>
      </w:r>
    </w:p>
    <w:p>
      <w:pPr>
        <w:pStyle w:val="Normal"/>
        <w:autoSpaceDE w:val="false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spacing w:before="0" w:after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widowControl/>
        <w:numPr>
          <w:ilvl w:val="0"/>
          <w:numId w:val="0"/>
        </w:numPr>
        <w:ind w:firstLine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sectPr>
      <w:footerReference w:type="default" r:id="rId4"/>
      <w:footerReference w:type="first" r:id="rId5"/>
      <w:footnotePr>
        <w:numFmt w:val="decimal"/>
      </w:footnotePr>
      <w:type w:val="nextPage"/>
      <w:pgSz w:w="11906" w:h="16838"/>
      <w:pgMar w:left="1418" w:right="851" w:header="0" w:top="1418" w:footer="709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ambria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imes New Roman CYR">
    <w:charset w:val="cc"/>
    <w:family w:val="roman"/>
    <w:pitch w:val="variable"/>
  </w:font>
  <w:font w:name="Bookman Old Style">
    <w:charset w:val="cc"/>
    <w:family w:val="roman"/>
    <w:pitch w:val="variable"/>
  </w:font>
  <w:font w:name="Tahoma">
    <w:charset w:val="cc"/>
    <w:family w:val="swiss"/>
    <w:pitch w:val="variable"/>
  </w:font>
  <w:font w:name="Calibri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before="100" w:after="100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before="100" w:after="100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widowControl/>
        <w:numPr>
          <w:ilvl w:val="0"/>
          <w:numId w:val="0"/>
        </w:numPr>
        <w:autoSpaceDE w:val="false"/>
        <w:spacing w:before="0" w:after="0"/>
        <w:jc w:val="both"/>
        <w:outlineLvl w:val="0"/>
        <w:rPr/>
      </w:pPr>
      <w:r>
        <w:rPr>
          <w:rStyle w:val="FootnoteCharacters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Приказ Минздравсоцразвития России от 12.04.2011 №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№ 22111) </w:t>
      </w:r>
      <w:r>
        <w:rPr>
          <w:sz w:val="20"/>
        </w:rPr>
        <w:t>с изменениями,</w:t>
      </w:r>
      <w:r>
        <w:rPr>
          <w:sz w:val="18"/>
          <w:szCs w:val="18"/>
        </w:rPr>
        <w:t xml:space="preserve"> внесенными Приказом Минздрава России от 15.05.2013 N 296н (Зарегистрирован  Минюстом России 03.07.2013, регистрационный № 28970).</w:t>
      </w:r>
    </w:p>
    <w:p>
      <w:pPr>
        <w:pStyle w:val="Footnote"/>
        <w:jc w:val="both"/>
        <w:rPr>
          <w:sz w:val="18"/>
          <w:szCs w:val="18"/>
        </w:rPr>
      </w:pPr>
      <w:r>
        <w:rPr>
          <w:sz w:val="18"/>
          <w:szCs w:val="18"/>
        </w:rPr>
      </w:r>
    </w:p>
  </w:footnote>
  <w:footnote w:id="3">
    <w:p>
      <w:pPr>
        <w:pStyle w:val="Normal"/>
        <w:autoSpaceDE w:val="false"/>
        <w:spacing w:before="0" w:after="0"/>
        <w:jc w:val="both"/>
        <w:rPr/>
      </w:pPr>
      <w:r>
        <w:rPr>
          <w:rStyle w:val="FootnoteCharacters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Приказ Минздравсоцразвития России от 31.01.2011 № 51н "Об утверждении национального календаря профилактических прививок и календаря профилактических прививок по эпидемическим показаниям" (Признан не нуждающимся в государственной регистрации письмом Минюста России от 17.02.2011, регистрационный №</w:t>
      </w:r>
      <w:r>
        <w:rPr>
          <w:sz w:val="20"/>
        </w:rPr>
        <w:t xml:space="preserve"> 01/8577-ДК).</w:t>
      </w:r>
    </w:p>
    <w:p>
      <w:pPr>
        <w:pStyle w:val="Normal"/>
        <w:autoSpaceDE w:val="false"/>
        <w:spacing w:before="100" w:after="100"/>
        <w:rPr>
          <w:sz w:val="20"/>
        </w:rPr>
      </w:pPr>
      <w:r>
        <w:rPr>
          <w:sz w:val="20"/>
        </w:rPr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7"/>
      <w:numFmt w:val="decimal"/>
      <w:lvlText w:val="%1.%2."/>
      <w:lvlJc w:val="left"/>
      <w:pPr>
        <w:tabs>
          <w:tab w:val="num" w:pos="1998"/>
        </w:tabs>
        <w:ind w:left="1998" w:hanging="1290"/>
      </w:pPr>
      <w:rPr/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1290"/>
      </w:pPr>
      <w:rPr/>
    </w:lvl>
    <w:lvl w:ilvl="3">
      <w:start w:val="1"/>
      <w:numFmt w:val="decimal"/>
      <w:lvlText w:val="%1.%2.%3.%4."/>
      <w:lvlJc w:val="left"/>
      <w:pPr>
        <w:tabs>
          <w:tab w:val="num" w:pos="3414"/>
        </w:tabs>
        <w:ind w:left="3414" w:hanging="1290"/>
      </w:pPr>
      <w:rPr/>
    </w:lvl>
    <w:lvl w:ilvl="4">
      <w:start w:val="1"/>
      <w:numFmt w:val="decimal"/>
      <w:lvlText w:val="%1.%2.%3.%4.%5."/>
      <w:lvlJc w:val="left"/>
      <w:pPr>
        <w:tabs>
          <w:tab w:val="num" w:pos="4122"/>
        </w:tabs>
        <w:ind w:left="4122" w:hanging="1290"/>
      </w:pPr>
      <w:rPr/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/>
    </w:lvl>
  </w:abstractNum>
  <w:abstractNum w:abstractNumId="3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100" w:after="100"/>
    </w:pPr>
    <w:rPr>
      <w:rFonts w:ascii="Times New Roman" w:hAnsi="Times New Roman" w:eastAsia="Times New Roman" w:cs="Times New Roman"/>
      <w:color w:val="auto"/>
      <w:sz w:val="24"/>
      <w:szCs w:val="20"/>
      <w:lang w:val="ru-RU" w:bidi="ar-SA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</w:pPr>
    <w:rPr>
      <w:rFonts w:ascii="Arial" w:hAnsi="Arial" w:cs="Arial"/>
      <w:b/>
      <w:bCs/>
      <w:color w:val="000080"/>
      <w:szCs w:val="24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autoSpaceDE w:val="false"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widowControl/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eastAsia="Times New Roman" w:cs="Times New Roman"/>
      <w:b w:val="false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Times New Roman" w:hAnsi="Times New Roman" w:cs="Times New Roman"/>
    </w:rPr>
  </w:style>
  <w:style w:type="character" w:styleId="WW8Num7z1">
    <w:name w:val="WW8Num7z1"/>
    <w:qFormat/>
    <w:rPr/>
  </w:style>
  <w:style w:type="character" w:styleId="WW8Num8z0">
    <w:name w:val="WW8Num8z0"/>
    <w:qFormat/>
    <w:rPr>
      <w:rFonts w:ascii="Courier New" w:hAnsi="Courier New" w:cs="Courier New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Times New Roman" w:hAnsi="Times New Roman" w:cs="Times New Roman"/>
      <w:b w:val="false"/>
      <w:bCs w:val="false"/>
      <w:i w:val="false"/>
      <w:iCs w:val="false"/>
      <w:sz w:val="24"/>
      <w:szCs w:val="24"/>
      <w:u w:val="none"/>
    </w:rPr>
  </w:style>
  <w:style w:type="character" w:styleId="WW8Num10z0">
    <w:name w:val="WW8Num10z0"/>
    <w:qFormat/>
    <w:rPr>
      <w:rFonts w:ascii="Times New Roman" w:hAnsi="Times New Roman" w:cs="Times New Roman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Times New Roman" w:hAnsi="Times New Roman" w:cs="Times New Roman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>
      <w:rFonts w:ascii="Courier New" w:hAnsi="Courier New" w:cs="Courier New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Symbol" w:hAnsi="Symbol" w:cs="Symbol"/>
      <w:color w:val="000000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rFonts w:ascii="Courier New" w:hAnsi="Courier New" w:cs="Courier New"/>
      <w:b w:val="false"/>
      <w:i w:val="false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1z0">
    <w:name w:val="WW8Num21z0"/>
    <w:qFormat/>
    <w:rPr>
      <w:rFonts w:ascii="Courier New" w:hAnsi="Courier New" w:cs="Courier New"/>
    </w:rPr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rFonts w:ascii="Courier New" w:hAnsi="Courier New" w:cs="Courier New"/>
      <w:b w:val="false"/>
      <w:i w:val="false"/>
    </w:rPr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Symbol" w:hAnsi="Symbol" w:cs="Symbol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b w:val="false"/>
      <w:i w:val="false"/>
      <w:sz w:val="24"/>
      <w:szCs w:val="24"/>
    </w:rPr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>
      <w:rFonts w:ascii="Symbol" w:hAnsi="Symbol" w:cs="Symbol"/>
      <w:color w:val="000000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7z3">
    <w:name w:val="WW8Num27z3"/>
    <w:qFormat/>
    <w:rPr>
      <w:rFonts w:ascii="Symbol" w:hAnsi="Symbol" w:cs="Symbol"/>
    </w:rPr>
  </w:style>
  <w:style w:type="character" w:styleId="WW8Num28z0">
    <w:name w:val="WW8Num28z0"/>
    <w:qFormat/>
    <w:rPr>
      <w:rFonts w:ascii="Courier New" w:hAnsi="Courier New" w:cs="Courier New"/>
    </w:rPr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>
      <w:rFonts w:ascii="Symbol" w:hAnsi="Symbol" w:cs="Symbol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30z0">
    <w:name w:val="WW8Num30z0"/>
    <w:qFormat/>
    <w:rPr>
      <w:rFonts w:ascii="Symbol" w:hAnsi="Symbol" w:cs="Symbol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1z0">
    <w:name w:val="WW8Num31z0"/>
    <w:qFormat/>
    <w:rPr>
      <w:rFonts w:ascii="Courier New" w:hAnsi="Courier New" w:cs="Courier New"/>
    </w:rPr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>
      <w:b w:val="false"/>
      <w:i w:val="false"/>
      <w:sz w:val="24"/>
      <w:szCs w:val="24"/>
    </w:rPr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St4z0">
    <w:name w:val="WW8NumSt4z0"/>
    <w:qFormat/>
    <w:rPr>
      <w:rFonts w:ascii="Symbol" w:hAnsi="Symbol" w:cs="Symbol"/>
      <w:b w:val="false"/>
      <w:bCs w:val="false"/>
      <w:i w:val="false"/>
      <w:iCs w:val="false"/>
      <w:sz w:val="24"/>
      <w:szCs w:val="24"/>
      <w:u w:val="none"/>
    </w:rPr>
  </w:style>
  <w:style w:type="character" w:styleId="WW8NumSt6z0">
    <w:name w:val="WW8NumSt6z0"/>
    <w:qFormat/>
    <w:rPr>
      <w:rFonts w:ascii="Times New Roman" w:hAnsi="Times New Roman" w:cs="Times New Roman"/>
      <w:b w:val="false"/>
      <w:bCs w:val="false"/>
      <w:i w:val="false"/>
      <w:iCs w:val="false"/>
      <w:sz w:val="24"/>
      <w:szCs w:val="24"/>
      <w:u w:val="none"/>
    </w:rPr>
  </w:style>
  <w:style w:type="character" w:styleId="Style10">
    <w:name w:val="Основной шрифт абзаца"/>
    <w:qFormat/>
    <w:rPr/>
  </w:style>
  <w:style w:type="character" w:styleId="FootnoteCharacters">
    <w:name w:val="Footnote Characters"/>
    <w:qFormat/>
    <w:rPr>
      <w:vertAlign w:val="superscript"/>
    </w:rPr>
  </w:style>
  <w:style w:type="character" w:styleId="PageNumber">
    <w:name w:val="Page Number"/>
    <w:basedOn w:val="Style10"/>
    <w:rPr/>
  </w:style>
  <w:style w:type="character" w:styleId="Post1">
    <w:name w:val="post1"/>
    <w:qFormat/>
    <w:rPr>
      <w:vanish w:val="false"/>
      <w:color w:val="888A8F"/>
      <w:sz w:val="22"/>
      <w:szCs w:val="22"/>
    </w:rPr>
  </w:style>
  <w:style w:type="character" w:styleId="Style11">
    <w:name w:val="Название Знак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3">
    <w:name w:val="Заголовок 3 Знак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6">
    <w:name w:val="Заголовок 6 Знак"/>
    <w:qFormat/>
    <w:rPr>
      <w:b/>
      <w:bCs/>
      <w:sz w:val="22"/>
      <w:szCs w:val="22"/>
      <w:lang w:val="en-US"/>
    </w:rPr>
  </w:style>
  <w:style w:type="character" w:styleId="StrongEmphasis">
    <w:name w:val="Strong Emphasis"/>
    <w:qFormat/>
    <w:rPr>
      <w:b/>
      <w:bCs/>
    </w:rPr>
  </w:style>
  <w:style w:type="character" w:styleId="InternetLink">
    <w:name w:val="Hyperlink"/>
    <w:rPr>
      <w:color w:val="000000"/>
      <w:u w:val="single"/>
    </w:rPr>
  </w:style>
  <w:style w:type="character" w:styleId="Style12">
    <w:name w:val="Знак примечания"/>
    <w:qFormat/>
    <w:rPr>
      <w:sz w:val="16"/>
      <w:szCs w:val="16"/>
    </w:rPr>
  </w:style>
  <w:style w:type="character" w:styleId="HTML">
    <w:name w:val="Стандартный HTML Знак"/>
    <w:qFormat/>
    <w:rPr>
      <w:rFonts w:ascii="Courier New" w:hAnsi="Courier New" w:cs="Courier New"/>
    </w:rPr>
  </w:style>
  <w:style w:type="character" w:styleId="212">
    <w:name w:val="Стиль Заголовок 2 + 12 пт Знак"/>
    <w:qFormat/>
    <w:rPr>
      <w:rFonts w:ascii="Arial" w:hAnsi="Arial" w:cs="Arial"/>
      <w:b/>
      <w:bCs/>
      <w:i/>
      <w:iCs/>
      <w:sz w:val="24"/>
      <w:szCs w:val="28"/>
      <w:lang w:val="ru-RU" w:bidi="ar-SA"/>
    </w:rPr>
  </w:style>
  <w:style w:type="character" w:styleId="Style13">
    <w:name w:val="Нижний колонтитул Знак"/>
    <w:qFormat/>
    <w:rPr>
      <w:sz w:val="24"/>
    </w:rPr>
  </w:style>
  <w:style w:type="character" w:styleId="EndnoteCharacters">
    <w:name w:val="Endnote Characters"/>
    <w:qFormat/>
    <w:rPr>
      <w:vertAlign w:val="superscript"/>
    </w:rPr>
  </w:style>
  <w:style w:type="character" w:styleId="Style14">
    <w:name w:val="Текст сноски Знак"/>
    <w:qFormat/>
    <w:rPr>
      <w:rFonts w:ascii="Arial" w:hAnsi="Arial" w:cs="Arial"/>
      <w:lang w:val="ru-RU" w:bidi="ar-SA"/>
    </w:rPr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paragraph" w:styleId="Heading">
    <w:name w:val="Heading"/>
    <w:basedOn w:val="Normal"/>
    <w:next w:val="Normal"/>
    <w:qFormat/>
    <w:pPr>
      <w:spacing w:before="240" w:after="60"/>
      <w:jc w:val="center"/>
      <w:outlineLvl w:val="0"/>
    </w:pPr>
    <w:rPr>
      <w:rFonts w:ascii="Cambria" w:hAnsi="Cambria" w:eastAsia="Times New Roman" w:cs="Times New Roman"/>
      <w:b/>
      <w:bCs/>
      <w:kern w:val="2"/>
      <w:sz w:val="32"/>
      <w:szCs w:val="32"/>
    </w:rPr>
  </w:style>
  <w:style w:type="paragraph" w:styleId="TextBody">
    <w:name w:val="Body Text"/>
    <w:basedOn w:val="Normal"/>
    <w:pPr>
      <w:spacing w:before="0" w:after="0"/>
      <w:jc w:val="both"/>
    </w:pPr>
    <w:rPr>
      <w:b/>
      <w:sz w:val="28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5">
    <w:name w:val="Термин"/>
    <w:basedOn w:val="Normal"/>
    <w:next w:val="Normal"/>
    <w:qFormat/>
    <w:pPr>
      <w:spacing w:before="0" w:after="0"/>
    </w:pPr>
    <w:rPr/>
  </w:style>
  <w:style w:type="paragraph" w:styleId="H4">
    <w:name w:val="H4"/>
    <w:basedOn w:val="Normal"/>
    <w:next w:val="Normal"/>
    <w:qFormat/>
    <w:pPr>
      <w:keepNext w:val="true"/>
      <w:outlineLvl w:val="4"/>
    </w:pPr>
    <w:rPr>
      <w:b/>
    </w:rPr>
  </w:style>
  <w:style w:type="paragraph" w:styleId="TextBodyIndent">
    <w:name w:val="Body Text Indent"/>
    <w:basedOn w:val="Normal"/>
    <w:pPr>
      <w:spacing w:before="0" w:after="0"/>
      <w:ind w:firstLine="851"/>
      <w:jc w:val="both"/>
    </w:pPr>
    <w:rPr/>
  </w:style>
  <w:style w:type="paragraph" w:styleId="Bodytext">
    <w:name w:val="body_text"/>
    <w:qFormat/>
    <w:pPr>
      <w:widowControl/>
      <w:bidi w:val="0"/>
      <w:ind w:firstLine="709"/>
      <w:jc w:val="both"/>
    </w:pPr>
    <w:rPr>
      <w:rFonts w:ascii="Times New Roman CYR" w:hAnsi="Times New Roman CYR" w:eastAsia="Times New Roman" w:cs="Times New Roman CYR"/>
      <w:color w:val="auto"/>
      <w:sz w:val="24"/>
      <w:szCs w:val="20"/>
      <w:lang w:val="ru-RU" w:bidi="ar-SA" w:eastAsia="zh-CN"/>
    </w:rPr>
  </w:style>
  <w:style w:type="paragraph" w:styleId="Podtitl">
    <w:name w:val="Podtitl"/>
    <w:qFormat/>
    <w:pPr>
      <w:widowControl/>
      <w:suppressAutoHyphens w:val="true"/>
      <w:bidi w:val="0"/>
      <w:jc w:val="center"/>
    </w:pPr>
    <w:rPr>
      <w:rFonts w:ascii="Times New Roman CYR" w:hAnsi="Times New Roman CYR" w:eastAsia="Times New Roman" w:cs="Times New Roman CYR"/>
      <w:b/>
      <w:color w:val="auto"/>
      <w:sz w:val="22"/>
      <w:szCs w:val="20"/>
      <w:lang w:val="ru-RU" w:bidi="ar-SA" w:eastAsia="zh-CN"/>
    </w:rPr>
  </w:style>
  <w:style w:type="paragraph" w:styleId="Style16">
    <w:name w:val="Обычный (веб)"/>
    <w:basedOn w:val="Normal"/>
    <w:qFormat/>
    <w:pPr>
      <w:widowControl/>
      <w:spacing w:before="280" w:after="280"/>
    </w:pPr>
    <w:rPr>
      <w:szCs w:val="24"/>
    </w:rPr>
  </w:style>
  <w:style w:type="paragraph" w:styleId="FR1">
    <w:name w:val="FR1"/>
    <w:qFormat/>
    <w:pPr>
      <w:widowControl w:val="false"/>
      <w:suppressAutoHyphens w:val="true"/>
      <w:bidi w:val="0"/>
      <w:spacing w:lineRule="auto" w:line="252"/>
      <w:ind w:left="40" w:firstLine="240"/>
    </w:pPr>
    <w:rPr>
      <w:rFonts w:ascii="Times New Roman" w:hAnsi="Times New Roman" w:eastAsia="Arial" w:cs="Times New Roman"/>
      <w:b/>
      <w:bCs/>
      <w:color w:val="auto"/>
      <w:sz w:val="28"/>
      <w:szCs w:val="28"/>
      <w:lang w:val="ru-RU" w:bidi="ar-SA" w:eastAsia="zh-CN"/>
    </w:rPr>
  </w:style>
  <w:style w:type="paragraph" w:styleId="ConsNormal">
    <w:name w:val="ConsNormal"/>
    <w:qFormat/>
    <w:pPr>
      <w:widowControl w:val="false"/>
      <w:suppressAutoHyphens w:val="true"/>
      <w:autoSpaceDE w:val="false"/>
      <w:bidi w:val="0"/>
      <w:ind w:firstLine="720"/>
    </w:pPr>
    <w:rPr>
      <w:rFonts w:ascii="Arial" w:hAnsi="Arial" w:eastAsia="Arial" w:cs="Arial"/>
      <w:color w:val="auto"/>
      <w:sz w:val="16"/>
      <w:szCs w:val="16"/>
      <w:lang w:val="ru-RU" w:bidi="ar-SA" w:eastAsia="zh-CN"/>
    </w:rPr>
  </w:style>
  <w:style w:type="paragraph" w:styleId="ConsPlusNormal">
    <w:name w:val="ConsPlusNormal"/>
    <w:qFormat/>
    <w:pPr>
      <w:widowControl w:val="false"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2">
    <w:name w:val="Основной текст 2"/>
    <w:basedOn w:val="Normal"/>
    <w:qFormat/>
    <w:pPr>
      <w:widowControl/>
      <w:overflowPunct w:val="false"/>
      <w:autoSpaceDE w:val="false"/>
      <w:spacing w:lineRule="auto" w:line="480" w:before="0" w:after="120"/>
      <w:textAlignment w:val="baseline"/>
    </w:pPr>
    <w:rPr>
      <w:sz w:val="20"/>
    </w:rPr>
  </w:style>
  <w:style w:type="paragraph" w:styleId="BodyTextIndent2">
    <w:name w:val="Body Text Indent 2"/>
    <w:basedOn w:val="Normal"/>
    <w:qFormat/>
    <w:pPr>
      <w:widowControl/>
      <w:spacing w:lineRule="auto" w:line="360" w:before="0" w:after="0"/>
      <w:ind w:firstLine="720"/>
      <w:jc w:val="both"/>
    </w:pPr>
    <w:rPr>
      <w:rFonts w:ascii="Bookman Old Style" w:hAnsi="Bookman Old Style" w:cs="Bookman Old Style"/>
    </w:rPr>
  </w:style>
  <w:style w:type="paragraph" w:styleId="TablCenter">
    <w:name w:val="Tabl_Center"/>
    <w:basedOn w:val="Bodytext"/>
    <w:qFormat/>
    <w:pPr>
      <w:suppressAutoHyphens w:val="true"/>
      <w:spacing w:lineRule="auto" w:line="216" w:before="20" w:after="20"/>
      <w:ind w:hanging="0"/>
      <w:jc w:val="center"/>
    </w:pPr>
    <w:rPr>
      <w:rFonts w:eastAsia="Arial"/>
      <w:sz w:val="22"/>
    </w:rPr>
  </w:style>
  <w:style w:type="paragraph" w:styleId="Footnote">
    <w:name w:val="Footnote Text"/>
    <w:basedOn w:val="Normal"/>
    <w:pPr>
      <w:autoSpaceDE w:val="false"/>
      <w:spacing w:before="0" w:after="0"/>
    </w:pPr>
    <w:rPr>
      <w:rFonts w:ascii="Arial" w:hAnsi="Arial" w:cs="Arial"/>
      <w:sz w:val="20"/>
    </w:rPr>
  </w:style>
  <w:style w:type="paragraph" w:styleId="21">
    <w:name w:val="Îñíîâíîé òåêñò 21"/>
    <w:basedOn w:val="Normal"/>
    <w:qFormat/>
    <w:pPr>
      <w:widowControl/>
      <w:tabs>
        <w:tab w:val="clear" w:pos="708"/>
        <w:tab w:val="left" w:pos="1069" w:leader="none"/>
      </w:tabs>
      <w:overflowPunct w:val="false"/>
      <w:autoSpaceDE w:val="false"/>
      <w:spacing w:lineRule="auto" w:line="360" w:before="0" w:after="0"/>
      <w:ind w:firstLine="709"/>
      <w:jc w:val="both"/>
      <w:textAlignment w:val="baseline"/>
    </w:pPr>
    <w:rPr>
      <w:szCs w:val="24"/>
    </w:rPr>
  </w:style>
  <w:style w:type="paragraph" w:styleId="7">
    <w:name w:val="Стиль7"/>
    <w:basedOn w:val="TextBody"/>
    <w:qFormat/>
    <w:pPr>
      <w:numPr>
        <w:ilvl w:val="0"/>
        <w:numId w:val="2"/>
      </w:numPr>
      <w:autoSpaceDE w:val="false"/>
      <w:jc w:val="center"/>
    </w:pPr>
    <w:rPr>
      <w:rFonts w:ascii="Arial" w:hAnsi="Arial" w:cs="Arial"/>
      <w:bCs/>
      <w:color w:val="000000"/>
      <w:szCs w:val="28"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17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qFormat/>
    <w:pPr>
      <w:overflowPunct w:val="false"/>
      <w:autoSpaceDE w:val="false"/>
      <w:spacing w:before="0" w:after="0"/>
      <w:ind w:firstLine="485"/>
      <w:jc w:val="both"/>
      <w:textAlignment w:val="baseline"/>
    </w:pPr>
    <w:rPr>
      <w:color w:val="000000"/>
      <w:sz w:val="28"/>
    </w:rPr>
  </w:style>
  <w:style w:type="paragraph" w:styleId="Normal1">
    <w:name w:val="LO-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Style18">
    <w:name w:val="Заголовок приложения"/>
    <w:basedOn w:val="Heading1"/>
    <w:qFormat/>
    <w:pPr>
      <w:keepNext w:val="true"/>
      <w:widowControl/>
      <w:numPr>
        <w:ilvl w:val="0"/>
        <w:numId w:val="0"/>
      </w:numPr>
      <w:autoSpaceDE w:val="true"/>
      <w:spacing w:before="0" w:after="0"/>
      <w:jc w:val="right"/>
    </w:pPr>
    <w:rPr>
      <w:rFonts w:ascii="Times New Roman" w:hAnsi="Times New Roman" w:cs="Times New Roman"/>
      <w:bCs w:val="false"/>
      <w:color w:val="000000"/>
      <w:sz w:val="28"/>
      <w:szCs w:val="28"/>
    </w:rPr>
  </w:style>
  <w:style w:type="paragraph" w:styleId="1">
    <w:name w:val="Нумерованный список1"/>
    <w:basedOn w:val="Normal"/>
    <w:qFormat/>
    <w:pPr>
      <w:widowControl/>
      <w:tabs>
        <w:tab w:val="clear" w:pos="708"/>
        <w:tab w:val="left" w:pos="360" w:leader="none"/>
      </w:tabs>
      <w:spacing w:before="0" w:after="0"/>
      <w:jc w:val="both"/>
    </w:pPr>
    <w:rPr/>
  </w:style>
  <w:style w:type="paragraph" w:styleId="Style19">
    <w:name w:val="Заголовок таблицы"/>
    <w:basedOn w:val="TextBody"/>
    <w:next w:val="Normal"/>
    <w:qFormat/>
    <w:pPr>
      <w:keepNext w:val="true"/>
      <w:keepLines/>
      <w:widowControl/>
      <w:autoSpaceDE w:val="false"/>
      <w:jc w:val="center"/>
    </w:pPr>
    <w:rPr>
      <w:bCs/>
      <w:sz w:val="24"/>
      <w:szCs w:val="28"/>
    </w:rPr>
  </w:style>
  <w:style w:type="paragraph" w:styleId="Style20">
    <w:name w:val="Таблица"/>
    <w:basedOn w:val="Normal"/>
    <w:qFormat/>
    <w:pPr>
      <w:keepLines/>
      <w:widowControl/>
      <w:spacing w:lineRule="exact" w:line="240" w:before="0" w:after="0"/>
    </w:pPr>
    <w:rPr/>
  </w:style>
  <w:style w:type="paragraph" w:styleId="Spisok">
    <w:name w:val="spisok"/>
    <w:basedOn w:val="Bodytext"/>
    <w:qFormat/>
    <w:pPr>
      <w:tabs>
        <w:tab w:val="clear" w:pos="708"/>
        <w:tab w:val="left" w:pos="993" w:leader="none"/>
        <w:tab w:val="left" w:pos="1129" w:leader="none"/>
      </w:tabs>
      <w:suppressAutoHyphens w:val="true"/>
      <w:ind w:left="1129" w:hanging="420"/>
    </w:pPr>
    <w:rPr>
      <w:rFonts w:eastAsia="Arial"/>
      <w:spacing w:val="4"/>
    </w:rPr>
  </w:style>
  <w:style w:type="paragraph" w:styleId="ConsTitle">
    <w:name w:val="ConsTitle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b/>
      <w:bCs/>
      <w:color w:val="auto"/>
      <w:sz w:val="24"/>
      <w:szCs w:val="24"/>
      <w:lang w:val="ru-RU" w:bidi="ar-SA" w:eastAsia="zh-CN"/>
    </w:rPr>
  </w:style>
  <w:style w:type="paragraph" w:styleId="Style21">
    <w:name w:val="Знак Знак Знак Знак Знак Знак Знак Знак Знак Знак"/>
    <w:basedOn w:val="Normal"/>
    <w:qFormat/>
    <w:pPr>
      <w:widowControl/>
      <w:spacing w:before="280" w:after="280"/>
    </w:pPr>
    <w:rPr>
      <w:rFonts w:ascii="Tahoma" w:hAnsi="Tahoma" w:cs="Tahoma"/>
      <w:sz w:val="20"/>
      <w:lang w:val="en-US"/>
    </w:rPr>
  </w:style>
  <w:style w:type="paragraph" w:styleId="Style22">
    <w:name w:val="Таблица Знак Знак Знак Знак Знак Знак Знак"/>
    <w:basedOn w:val="Normal"/>
    <w:qFormat/>
    <w:pPr>
      <w:keepLines/>
      <w:widowControl/>
      <w:spacing w:lineRule="exact" w:line="240" w:before="0" w:after="0"/>
    </w:pPr>
    <w:rPr/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Абзац списка"/>
    <w:basedOn w:val="Normal"/>
    <w:qFormat/>
    <w:pPr>
      <w:widowControl/>
      <w:spacing w:before="0" w:after="0"/>
      <w:ind w:left="720" w:hanging="0"/>
      <w:contextualSpacing/>
    </w:pPr>
    <w:rPr>
      <w:szCs w:val="24"/>
    </w:rPr>
  </w:style>
  <w:style w:type="paragraph" w:styleId="Style24">
    <w:name w:val="Текст примечания"/>
    <w:basedOn w:val="Normal"/>
    <w:qFormat/>
    <w:pPr/>
    <w:rPr>
      <w:sz w:val="20"/>
    </w:rPr>
  </w:style>
  <w:style w:type="paragraph" w:styleId="Style25">
    <w:name w:val="Тема примечания"/>
    <w:basedOn w:val="Style24"/>
    <w:next w:val="Style24"/>
    <w:qFormat/>
    <w:pPr/>
    <w:rPr>
      <w:b/>
      <w:bCs/>
    </w:rPr>
  </w:style>
  <w:style w:type="paragraph" w:styleId="HTML1">
    <w:name w:val="Стандартный HTML"/>
    <w:basedOn w:val="Normal"/>
    <w:qFormat/>
    <w:pPr>
      <w:widowControl/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before="0" w:after="0"/>
    </w:pPr>
    <w:rPr>
      <w:rFonts w:ascii="Courier New" w:hAnsi="Courier New" w:cs="Courier New"/>
      <w:sz w:val="20"/>
    </w:rPr>
  </w:style>
  <w:style w:type="paragraph" w:styleId="22">
    <w:name w:val="Основной текст с отступом 2"/>
    <w:basedOn w:val="Normal"/>
    <w:qFormat/>
    <w:pPr>
      <w:spacing w:lineRule="auto" w:line="480" w:before="100" w:after="120"/>
      <w:ind w:left="283" w:hanging="0"/>
    </w:pPr>
    <w:rPr/>
  </w:style>
  <w:style w:type="paragraph" w:styleId="ConsPlusTitle">
    <w:name w:val="ConsPlusTitle"/>
    <w:qFormat/>
    <w:pPr>
      <w:widowControl w:val="false"/>
      <w:autoSpaceDE w:val="false"/>
      <w:bidi w:val="0"/>
    </w:pPr>
    <w:rPr>
      <w:rFonts w:ascii="Calibri" w:hAnsi="Calibri" w:eastAsia="Times New Roman" w:cs="Calibri"/>
      <w:b/>
      <w:bCs/>
      <w:color w:val="auto"/>
      <w:sz w:val="22"/>
      <w:szCs w:val="22"/>
      <w:lang w:val="ru-RU" w:bidi="ar-SA" w:eastAsia="zh-CN"/>
    </w:rPr>
  </w:style>
  <w:style w:type="paragraph" w:styleId="ListParagraph">
    <w:name w:val="List Paragraph"/>
    <w:basedOn w:val="Normal"/>
    <w:qFormat/>
    <w:pPr>
      <w:autoSpaceDE w:val="false"/>
      <w:spacing w:before="0" w:after="0"/>
      <w:ind w:firstLine="709"/>
      <w:jc w:val="both"/>
    </w:pPr>
    <w:rPr>
      <w:szCs w:val="24"/>
    </w:rPr>
  </w:style>
  <w:style w:type="paragraph" w:styleId="ConsPlusCell">
    <w:name w:val="ConsPlusCell"/>
    <w:qFormat/>
    <w:pPr>
      <w:widowControl w:val="false"/>
      <w:autoSpaceDE w:val="false"/>
      <w:bidi w:val="0"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paragraph" w:styleId="ConsNonformat">
    <w:name w:val="ConsNonformat"/>
    <w:qFormat/>
    <w:pPr>
      <w:widowControl w:val="false"/>
      <w:suppressAutoHyphens w:val="true"/>
      <w:autoSpaceDE w:val="false"/>
      <w:bidi w:val="0"/>
    </w:pPr>
    <w:rPr>
      <w:rFonts w:ascii="Courier New" w:hAnsi="Courier New" w:eastAsia="Times New Roman" w:cs="Courier New"/>
      <w:color w:val="auto"/>
      <w:sz w:val="16"/>
      <w:szCs w:val="16"/>
      <w:lang w:val="ru-RU" w:bidi="ar-SA" w:eastAsia="zh-CN"/>
    </w:rPr>
  </w:style>
  <w:style w:type="paragraph" w:styleId="211">
    <w:name w:val="Основной текст 21"/>
    <w:basedOn w:val="Normal"/>
    <w:qFormat/>
    <w:pPr>
      <w:spacing w:before="0" w:after="0"/>
      <w:ind w:firstLine="709"/>
      <w:jc w:val="both"/>
    </w:pPr>
    <w:rPr>
      <w:sz w:val="28"/>
      <w:szCs w:val="28"/>
    </w:rPr>
  </w:style>
  <w:style w:type="paragraph" w:styleId="Style26">
    <w:name w:val="Знак Знак Знак Знак"/>
    <w:basedOn w:val="Normal"/>
    <w:qFormat/>
    <w:pPr>
      <w:widowControl/>
      <w:spacing w:before="280" w:after="280"/>
    </w:pPr>
    <w:rPr>
      <w:rFonts w:ascii="Tahoma" w:hAnsi="Tahoma" w:cs="Tahoma"/>
      <w:sz w:val="20"/>
      <w:lang w:val="en-US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9308E149131AE2484375589599B7AA2EB93F45D5072EB6D4F03A955AFF1A5607EBF7864D61DA791AV2k6E" TargetMode="External"/><Relationship Id="rId3" Type="http://schemas.openxmlformats.org/officeDocument/2006/relationships/hyperlink" Target="consultantplus://offline/ref=9308E149131AE2484375589599B7AA2EB93F45D5072EB6D4F03A955AFF1A5607EBF7864D61DA791FV2k4E" TargetMode="Externa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LibreOffice/7.0.6.2$Linux_X86_64 LibreOffice_project/00$Build-2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2018-03-05T09:20:00Z</dcterms:created>
  <dc:creator>Степанов</dc:creator>
  <dc:description/>
  <cp:keywords> </cp:keywords>
  <dc:language>en-US</dc:language>
  <cp:lastModifiedBy>User</cp:lastModifiedBy>
  <cp:lastPrinted>2014-03-12T17:14:00Z</cp:lastPrinted>
  <dcterms:modified xsi:type="dcterms:W3CDTF">2018-03-05T09:20:00Z</dcterms:modified>
  <cp:revision>2</cp:revision>
  <dc:subject/>
  <dc:title>Государственное санитарно-эпидемиологическое нормирование</dc:title>
</cp:coreProperties>
</file>