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1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Выдержки из СанПиН 2.4.4. 3155-13</w:t>
      </w:r>
    </w:p>
    <w:p>
      <w:pPr>
        <w:pStyle w:val="Normal"/>
        <w:tabs>
          <w:tab w:val="clear" w:pos="708"/>
          <w:tab w:val="left" w:pos="5280" w:leader="none"/>
        </w:tabs>
        <w:ind w:left="5390" w:hanging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Normal"/>
        <w:tabs>
          <w:tab w:val="clear" w:pos="708"/>
          <w:tab w:val="left" w:pos="5280" w:leader="none"/>
        </w:tabs>
        <w:ind w:left="5390" w:hanging="0"/>
        <w:rPr/>
      </w:pPr>
      <w:r>
        <w:rPr>
          <w:sz w:val="28"/>
          <w:szCs w:val="28"/>
        </w:rPr>
        <w:t>постановлением Главного государственного санитар</w:t>
        <w:softHyphen/>
        <w:t xml:space="preserve">ного врача Российской Федерации  </w:t>
      </w:r>
    </w:p>
    <w:p>
      <w:pPr>
        <w:pStyle w:val="Normal"/>
        <w:tabs>
          <w:tab w:val="clear" w:pos="708"/>
          <w:tab w:val="left" w:pos="5280" w:leader="none"/>
        </w:tabs>
        <w:ind w:left="5390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от  «27» декабря 2013г.   № 73</w:t>
      </w:r>
    </w:p>
    <w:p>
      <w:pPr>
        <w:pStyle w:val="Style16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правила и нормативы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HTML1"/>
        <w:tabs>
          <w:tab w:val="left" w:pos="916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СанПиН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2.4.4.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3155-13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положения и область применения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left="108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"/>
        <w:tabs>
          <w:tab w:val="clear" w:pos="708"/>
          <w:tab w:val="left" w:pos="1134" w:leader="none"/>
        </w:tabs>
        <w:ind w:firstLine="720"/>
        <w:rPr/>
      </w:pPr>
      <w:r>
        <w:rPr>
          <w:rFonts w:cs="Times New Roman" w:ascii="Times New Roman" w:hAnsi="Times New Roman"/>
          <w:sz w:val="28"/>
          <w:szCs w:val="28"/>
        </w:rPr>
        <w:t>1.1. Настоящие санитарно-эпидемиологические правила и нормативы (далее – санитарные правила) устанавливают санитарно-эпидемиологические требования к размещению, устройству, содержанию и организации работы стационарных организаций отдыха и оздоровления детей летнего, сезонного и круглогодичного функционирования (далее – детские оздоровительные лагеря).</w:t>
      </w:r>
    </w:p>
    <w:p>
      <w:pPr>
        <w:pStyle w:val="Bodytext"/>
        <w:tabs>
          <w:tab w:val="clear" w:pos="708"/>
          <w:tab w:val="left" w:pos="1134" w:leader="none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Санитарные правила направлены на обеспечение отдыха, оздоровления и укрепление здоровья детей, в том числе детей с ограниченными возможностями здоровья,  в период пребывания их в детских оздоровительных лагерях.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both"/>
        <w:rPr/>
      </w:pPr>
      <w:r>
        <w:rPr>
          <w:sz w:val="28"/>
          <w:szCs w:val="28"/>
          <w:highlight w:val="yellow"/>
        </w:rPr>
        <w:t>1.7. Деятельность детских оздоровительных лагерей</w:t>
      </w:r>
      <w:r>
        <w:rPr>
          <w:rFonts w:cs="Calibri"/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осуществляется при условии соответствия их требованиям настоящих санитарных правил.</w:t>
      </w:r>
      <w:r>
        <w:rPr>
          <w:sz w:val="28"/>
          <w:szCs w:val="28"/>
        </w:rPr>
        <w:t xml:space="preserve"> </w:t>
      </w:r>
    </w:p>
    <w:p>
      <w:pPr>
        <w:pStyle w:val="Normal"/>
        <w:autoSpaceDE w:val="false"/>
        <w:spacing w:before="0" w:after="0"/>
        <w:ind w:firstLine="720"/>
        <w:jc w:val="both"/>
        <w:rPr/>
      </w:pPr>
      <w:r>
        <w:rPr>
          <w:sz w:val="28"/>
          <w:szCs w:val="28"/>
        </w:rPr>
        <w:t>1.8. Работники детских оздоровительных лагерей проходят медицинские осмотры в установленном порядке</w:t>
      </w:r>
      <w:r>
        <w:rPr>
          <w:rStyle w:val="FootnoteCharacters"/>
          <w:rStyle w:val="FootnoteAnchor"/>
          <w:sz w:val="28"/>
          <w:szCs w:val="28"/>
        </w:rPr>
        <w:footnoteReference w:id="2"/>
      </w:r>
      <w:r>
        <w:rPr>
          <w:sz w:val="28"/>
          <w:szCs w:val="28"/>
        </w:rPr>
        <w:t xml:space="preserve"> и  должны быть привиты в соответствии с </w:t>
      </w:r>
      <w:hyperlink r:id="rId2">
        <w:r>
          <w:rPr>
            <w:rStyle w:val="InternetLink"/>
            <w:sz w:val="28"/>
            <w:szCs w:val="28"/>
          </w:rPr>
          <w:t>национальным календарем</w:t>
        </w:r>
      </w:hyperlink>
      <w:r>
        <w:rPr>
          <w:sz w:val="28"/>
          <w:szCs w:val="28"/>
        </w:rPr>
        <w:t xml:space="preserve"> профилактических прививок, а также по эпидемиологическим </w:t>
      </w:r>
      <w:hyperlink r:id="rId3">
        <w:r>
          <w:rPr>
            <w:rStyle w:val="InternetLink"/>
            <w:sz w:val="28"/>
            <w:szCs w:val="28"/>
          </w:rPr>
          <w:t>показаниям</w:t>
        </w:r>
        <w:r>
          <w:rPr>
            <w:rStyle w:val="FootnoteCharacters"/>
            <w:rStyle w:val="FootnoteAnchor"/>
            <w:sz w:val="28"/>
            <w:szCs w:val="28"/>
          </w:rPr>
          <w:footnoteReference w:id="3"/>
        </w:r>
      </w:hyperlink>
      <w:r>
        <w:rPr>
          <w:sz w:val="28"/>
          <w:szCs w:val="28"/>
        </w:rPr>
        <w:t>.</w:t>
      </w:r>
    </w:p>
    <w:p>
      <w:pPr>
        <w:pStyle w:val="Normal"/>
        <w:autoSpaceDE w:val="false"/>
        <w:spacing w:before="0" w:after="0"/>
        <w:ind w:firstLine="540"/>
        <w:jc w:val="both"/>
        <w:rPr/>
      </w:pPr>
      <w:r>
        <w:rPr>
          <w:sz w:val="28"/>
          <w:szCs w:val="28"/>
        </w:rPr>
        <w:t>Каждый работник детского оздоровительного лагеря должен иметь личную медицинскую книжку установленного образца,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>
      <w:pPr>
        <w:pStyle w:val="Normal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1.10. 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 сведений об имеющихся прививках.</w:t>
      </w:r>
    </w:p>
    <w:p>
      <w:pPr>
        <w:pStyle w:val="Heading1"/>
        <w:spacing w:before="0" w:after="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HTML1"/>
        <w:tabs>
          <w:tab w:val="clear" w:pos="916"/>
          <w:tab w:val="left" w:pos="0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 xml:space="preserve">. Требования к территории детского оздоровительного лагеря </w:t>
      </w:r>
    </w:p>
    <w:p>
      <w:pPr>
        <w:pStyle w:val="Normal"/>
        <w:autoSpaceDE w:val="false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HTML1"/>
        <w:tabs>
          <w:tab w:val="clear" w:pos="916"/>
          <w:tab w:val="left" w:pos="567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3.9. Перед открытием детского оздоровительного лагеря необходимо организовать и провести противоклещевую (акарицидную) обработку  его территории и мероприятия по борьбе с грызунами в целях профилактики клещевого энцефалита, клещевого боррелиоза и геморрагической лихорадки с почечным синдромом и других инфекционных болезней. После проведения обработок должен быть проведен контроль качества проведенных обработок против клещей и грызунов.</w:t>
      </w:r>
    </w:p>
    <w:p>
      <w:pPr>
        <w:pStyle w:val="HTML1"/>
        <w:tabs>
          <w:tab w:val="clear" w:pos="916"/>
          <w:tab w:val="left" w:pos="567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center"/>
        <w:rPr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зданиям, помещениям и оборудованию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HTML1"/>
        <w:tabs>
          <w:tab w:val="left" w:pos="916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Площадь спальных помещений предусматривается из расчета не менее 4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 xml:space="preserve">на ребенка.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Набор и площади помещений для кружковых занятий и секций должны соответствовать санитарно-эпидемиологическим требованиям к организациям дополнительного образования детей.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Спальные комнаты </w:t>
      </w:r>
      <w:r>
        <w:rPr>
          <w:bCs/>
          <w:sz w:val="28"/>
          <w:szCs w:val="28"/>
        </w:rPr>
        <w:t>должны быть</w:t>
      </w:r>
      <w:r>
        <w:rPr>
          <w:sz w:val="28"/>
          <w:szCs w:val="28"/>
        </w:rPr>
        <w:t xml:space="preserve"> отдельными для мальчиков и девочек и оборудованы стационарными кроватями. Допускается использование двухъярусных кроватей при условии соблюдения нормы площади на одного ребенка и числа проживающих в комнате. 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V. Требования к водоснабжению и канализации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5.2. Вода хозяйственно-питьевого назначения должна отвечать </w:t>
      </w:r>
      <w:r>
        <w:rPr>
          <w:rFonts w:cs="Times New Roman" w:ascii="Times New Roman" w:hAnsi="Times New Roman"/>
          <w:bCs/>
          <w:sz w:val="28"/>
          <w:szCs w:val="28"/>
        </w:rPr>
        <w:t>по показателям безопасности гигиеническим требованиям к качеству воды централизованных систем питьевого водоснабжения.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 Собственный источник водоснабжения должен отвечать санитарно-эпидемиологическим требованиям к источникам водоснабжения для питьевого назначения.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5.4. Подводка холодной и горячей воды предусматривается в помещения медицинского назначения, столовой, туалеты, душевые, умывальные с ногомойками, комнаты гигиены девочек, умывальные перед обеденным залом, постирочную, помещения для хранения уборочного инвентаря и приготовления дезинфицирующих растворов.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textAlignment w:val="top"/>
        <w:rPr>
          <w:color w:val="22272F"/>
          <w:sz w:val="32"/>
          <w:szCs w:val="32"/>
          <w:shd w:fill="FFFFFF" w:val="clear"/>
        </w:rPr>
      </w:pPr>
      <w:r>
        <w:rPr>
          <w:color w:val="22272F"/>
          <w:sz w:val="32"/>
          <w:szCs w:val="32"/>
          <w:shd w:fill="FFFFFF" w:val="clear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textAlignment w:val="top"/>
        <w:rPr>
          <w:b/>
          <w:b/>
          <w:sz w:val="28"/>
          <w:szCs w:val="28"/>
        </w:rPr>
      </w:pPr>
      <w:r>
        <w:rPr>
          <w:b/>
          <w:color w:val="22272F"/>
          <w:sz w:val="28"/>
          <w:szCs w:val="32"/>
          <w:shd w:fill="FFFFFF" w:val="clear"/>
        </w:rPr>
        <w:t>IV. Требования к зданиям, помещениям и оборудованию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2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4.12. Помещения санитарно-бытового назначения для детей предусматриваются раздельными для мальчиков и девочек. Каждая туалетная комната оборудуется умывальниками и туалетными кабинами с дверями.</w:t>
      </w:r>
    </w:p>
    <w:p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Рекомендуется предусматривать комнаты личной гигиены девочек, оборудованные гибким шлангом, умывальником, поддоном, сливом.</w:t>
      </w:r>
    </w:p>
    <w:p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вновь строящихся зданиях оборудуются помещения санитарно-бытового назначения из расчета: туалетные - не менее - 2 унитазов на 16 девочек; 1 унитаз и 1 писсуар на 16 мальчиков; душевые - душевыми кабинами не менее - 1 рожок (сетка) на 16 человек; умывальные - не менее 1 умывальника на 5 человек и не менее 2 ногомоек на 16 человек; рекомендуется предусматривать комнаты личной гигиены девочек.</w:t>
      </w:r>
    </w:p>
    <w:p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вновь строящихся зданиях туалеты и душевые кабины рекомендуется оборудовать при каждом спальном помещении.</w:t>
      </w:r>
    </w:p>
    <w:p>
      <w:pPr>
        <w:pStyle w:val="Con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</w:rPr>
        <w:t>. Требования к организации питания детей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autoSpaceDE w:val="false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10.1.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 </w:t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5812" w:leader="none"/>
          <w:tab w:val="left" w:pos="7513" w:leader="none"/>
        </w:tabs>
        <w:ind w:firstLine="567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widowControl/>
        <w:numPr>
          <w:ilvl w:val="0"/>
          <w:numId w:val="0"/>
        </w:numPr>
        <w:tabs>
          <w:tab w:val="clear" w:pos="708"/>
          <w:tab w:val="left" w:pos="5812" w:leader="none"/>
          <w:tab w:val="left" w:pos="7513" w:leader="none"/>
        </w:tabs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</w:t>
      </w:r>
    </w:p>
    <w:p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Суточная потребность в пищевых веществах и энергии детей</w:t>
      </w:r>
    </w:p>
    <w:p>
      <w:pPr>
        <w:pStyle w:val="Normal"/>
        <w:autoSpaceDE w:val="false"/>
        <w:jc w:val="center"/>
        <w:rPr>
          <w:sz w:val="20"/>
          <w:szCs w:val="28"/>
        </w:rPr>
      </w:pPr>
      <w:r>
        <w:rPr>
          <w:sz w:val="20"/>
          <w:szCs w:val="28"/>
        </w:rPr>
      </w:r>
    </w:p>
    <w:tbl>
      <w:tblPr>
        <w:tblW w:w="10005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85"/>
        <w:gridCol w:w="2970"/>
        <w:gridCol w:w="2850"/>
      </w:tblGrid>
      <w:tr>
        <w:trPr>
          <w:trHeight w:val="360" w:hRule="atLeast"/>
          <w:cantSplit w:val="true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Название пищевых веществ</w:t>
            </w:r>
          </w:p>
        </w:tc>
        <w:tc>
          <w:tcPr>
            <w:tcW w:w="5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Усредненная потребность в пищевых     </w:t>
              <w:br/>
              <w:t>веществах для детей возрастных групп:</w:t>
            </w:r>
          </w:p>
        </w:tc>
      </w:tr>
      <w:tr>
        <w:trPr>
          <w:trHeight w:val="240" w:hRule="atLeast"/>
          <w:cantSplit w:val="true"/>
        </w:trPr>
        <w:tc>
          <w:tcPr>
            <w:tcW w:w="418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7-10 лет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 11 лет и старше</w:t>
            </w:r>
          </w:p>
        </w:tc>
      </w:tr>
      <w:tr>
        <w:trPr>
          <w:trHeight w:val="240" w:hRule="atLeast"/>
          <w:cantSplit w:val="true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Белки (г)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76,5</w:t>
            </w:r>
          </w:p>
        </w:tc>
      </w:tr>
      <w:tr>
        <w:trPr>
          <w:trHeight w:val="240" w:hRule="atLeast"/>
          <w:cantSplit w:val="true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Жиры (г)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85</w:t>
            </w:r>
          </w:p>
        </w:tc>
      </w:tr>
      <w:tr>
        <w:trPr>
          <w:trHeight w:val="480" w:hRule="atLeast"/>
          <w:cantSplit w:val="true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Углеводы (г)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305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370,2</w:t>
            </w:r>
          </w:p>
        </w:tc>
      </w:tr>
      <w:tr>
        <w:trPr>
          <w:trHeight w:val="480" w:hRule="atLeast"/>
          <w:cantSplit w:val="true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Энергетическая ценность - </w:t>
              <w:br/>
              <w:t xml:space="preserve">калорийность (ккал) &lt;*&gt;      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2100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2550</w:t>
            </w:r>
          </w:p>
        </w:tc>
      </w:tr>
    </w:tbl>
    <w:p>
      <w:pPr>
        <w:pStyle w:val="Normal"/>
        <w:spacing w:before="0" w:after="0"/>
        <w:rPr>
          <w:sz w:val="28"/>
          <w:szCs w:val="28"/>
        </w:rPr>
      </w:pPr>
      <w:r>
        <w:rPr>
          <w:sz w:val="22"/>
          <w:szCs w:val="26"/>
        </w:rPr>
        <w:t>* без учета повышенных энерготрат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outlineLvl w:val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10.2.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Питание должно быть организовано в соответствии с примерным меню, утвержденным руководителем детского оздоровительного лагеря,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пищевых продуктов для организации питания детей (Приложение № 7). В круглогодичных детских оздоровительных лагерях разрабатывается сезонное меню. </w:t>
      </w:r>
    </w:p>
    <w:p>
      <w:pPr>
        <w:pStyle w:val="Normal"/>
        <w:spacing w:before="0" w:after="0"/>
        <w:ind w:firstLine="709"/>
        <w:jc w:val="both"/>
        <w:rPr/>
      </w:pPr>
      <w:r>
        <w:rPr>
          <w:sz w:val="28"/>
          <w:szCs w:val="28"/>
        </w:rPr>
        <w:t>10.5.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2.</w:t>
      </w:r>
    </w:p>
    <w:p>
      <w:pPr>
        <w:pStyle w:val="Normal"/>
        <w:spacing w:before="0"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Рекомендуемое распределение калорийности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между приемами пищи в течение дня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9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пищи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суточной потребности в энергии, %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35-40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34" w:leader="none"/>
              </w:tabs>
              <w:spacing w:before="0" w:after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>
      <w:pPr>
        <w:pStyle w:val="ConsPlusNormal"/>
        <w:widowControl/>
        <w:tabs>
          <w:tab w:val="clear" w:pos="708"/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Отступления от норм калорийности по отдельным приемам пищи в течение дня допускается в пределах ±5% при условии, что средний процент калорийности приемов пищи за смену будет соответствовать вышеперечисленным требованиям.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10.7. Завтрак должен состоять из горячего блюда, бутерброда и горячего напитка. Обед должен включать закуску (салат или порционные овощи, сельдь с луком), первое горячее блюдо, второе горячее блюдо, напиток. Полдник включает напиток (молоко, кисломолочные напитки, соки, чай) с булочными или кондитерскими изделиями без крема, фрукты;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Второй ужин включает кисломолочный напиток (можно дополнить кондитерским изделием (печенье, вафли и другое).</w:t>
      </w:r>
    </w:p>
    <w:p>
      <w:pPr>
        <w:pStyle w:val="Con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10.8. В примерном меню предусматривается ежедневное использование в питании детей: молока, кисломолочных напитков, мяса, картофеля, овощей, фруктов, хлеба, круп, сливочного и растительного масла, сахара, соли. Остальные продукты (творог, сметана, птица, рыба, сыр, яйцо, соки и другие) включаются не реже 2 раз в неделю. </w:t>
      </w:r>
    </w:p>
    <w:p>
      <w:pPr>
        <w:pStyle w:val="Normal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детей. 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10.10. Для детей должен быть организован круглосуточно питьевой режим. Вода должна отвечать требованиям безопасности к питьевой воде. 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Питьевой режим организуется в следующих формах: стационарные питьевые фонтанчики; вода промышленного производства, расфасованная в емкости (бутилированная) негазированная; кипяченая вода (кипячение в течение не менее 5 минут от момента закипания).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. Требования к режиму дня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ConsNormal"/>
        <w:widowControl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11.1. Режим дня должен предусматривать: продолжительность ночного сна не менее 9 часов (для детей от 7 до 10 лет не менее 10 часов), дневного сна (отдыха) – не менее 1,5 часов, питание детей не менее </w:t>
      </w:r>
      <w:r>
        <w:rPr>
          <w:rFonts w:cs="Times New Roman" w:ascii="Times New Roman" w:hAnsi="Times New Roman"/>
          <w:bCs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раз (завтрак, обед, полдник, ужин, </w:t>
      </w:r>
      <w:r>
        <w:rPr>
          <w:rFonts w:cs="Times New Roman" w:ascii="Times New Roman" w:hAnsi="Times New Roman"/>
          <w:bCs/>
          <w:sz w:val="28"/>
          <w:szCs w:val="28"/>
        </w:rPr>
        <w:t>второй ужин</w:t>
      </w:r>
      <w:r>
        <w:rPr>
          <w:rFonts w:cs="Times New Roman" w:ascii="Times New Roman" w:hAnsi="Times New Roman"/>
          <w:sz w:val="28"/>
          <w:szCs w:val="28"/>
        </w:rPr>
        <w:t>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 а также отдых и свободное время. Утренний подъем детей проводится не ранее 8 часов.</w:t>
      </w:r>
    </w:p>
    <w:p>
      <w:pPr>
        <w:pStyle w:val="TextBodyIndent"/>
        <w:ind w:firstLine="709"/>
        <w:rPr/>
      </w:pPr>
      <w:r>
        <w:rPr>
          <w:sz w:val="28"/>
          <w:szCs w:val="28"/>
        </w:rPr>
        <w:t>Для детей 15 лет и старше допускается замена дневного сна на чтение книг и настольные игры.</w:t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11.6. Купание детей в открытых водоемах рекомендуется проводить в солнечные и безветренные дни, при температуре воздуха не ниже +23</w:t>
      </w:r>
      <w:r>
        <w:rPr>
          <w:sz w:val="28"/>
          <w:szCs w:val="28"/>
          <w:highlight w:val="yellow"/>
          <w:vertAlign w:val="superscript"/>
        </w:rPr>
        <w:t>0</w:t>
      </w:r>
      <w:r>
        <w:rPr>
          <w:sz w:val="28"/>
          <w:szCs w:val="28"/>
          <w:highlight w:val="yellow"/>
        </w:rPr>
        <w:t>С и температуре воды не ниже +20</w:t>
      </w:r>
      <w:r>
        <w:rPr>
          <w:sz w:val="28"/>
          <w:szCs w:val="28"/>
          <w:highlight w:val="yellow"/>
          <w:vertAlign w:val="superscript"/>
        </w:rPr>
        <w:t>0</w:t>
      </w:r>
      <w:r>
        <w:rPr>
          <w:sz w:val="28"/>
          <w:szCs w:val="28"/>
          <w:highlight w:val="yellow"/>
        </w:rPr>
        <w:t>С. Рекомендуемая продолжительность непрерывного пребывания в воде в первые дни 2-5 минут с постепенным увеличением до 10-15 минут. Купание сразу после приема пищи (менее 30 минут) не рекомендуется.</w:t>
      </w:r>
      <w:r>
        <w:rPr>
          <w:sz w:val="28"/>
          <w:szCs w:val="28"/>
        </w:rPr>
        <w:t xml:space="preserve"> </w:t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При организации купания детей присутствие медицинского работника обязательно.</w:t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11.8. Купание детей осуществляется в специально отведенных и оборудованных местах. </w:t>
      </w:r>
    </w:p>
    <w:p>
      <w:pPr>
        <w:pStyle w:val="Normal"/>
        <w:autoSpaceDE w:val="false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11.9. С учетом воспитательной и оздоровительной направленности детские оздоровительные лагеря в соответствии с их возрастом возможна организация следующих видов работ. Для детей </w:t>
      </w:r>
      <w:r>
        <w:rPr>
          <w:sz w:val="26"/>
          <w:szCs w:val="26"/>
        </w:rPr>
        <w:t xml:space="preserve">7 </w:t>
      </w:r>
      <w:r>
        <w:rPr>
          <w:sz w:val="28"/>
          <w:szCs w:val="28"/>
        </w:rPr>
        <w:t>- 13 лет допускается уборка постелей, сбор ягод и лекарственных трав под наблюдением воспитателя; для детей старше 14 лет - уборка спальных комнат, дежурство по столовой (сервировка обеденных столов, уборка грязной посуды, уборка обеденного зала).</w:t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11.13.</w:t>
      </w:r>
      <w:r>
        <w:rPr/>
        <w:t xml:space="preserve"> </w:t>
      </w:r>
      <w:r>
        <w:rPr>
          <w:sz w:val="28"/>
          <w:szCs w:val="28"/>
        </w:rPr>
        <w:t xml:space="preserve">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лагере распорядком дня. </w:t>
      </w:r>
      <w:r>
        <w:rPr>
          <w:sz w:val="28"/>
          <w:szCs w:val="28"/>
          <w:highlight w:val="yellow"/>
        </w:rP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мест.</w:t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1"/>
        <w:tabs>
          <w:tab w:val="left" w:pos="916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jc w:val="right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>к СанПиН 2.4.4.</w:t>
      </w:r>
      <w:r>
        <w:rPr>
          <w:sz w:val="28"/>
          <w:szCs w:val="28"/>
          <w:lang w:val="en-US"/>
        </w:rPr>
        <w:t>3155-13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jc w:val="right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autoSpaceDE w:val="false"/>
        <w:spacing w:before="0" w:after="0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jc w:val="center"/>
        <w:rPr>
          <w:sz w:val="28"/>
          <w:szCs w:val="28"/>
          <w:highlight w:val="yellow"/>
        </w:rPr>
      </w:pPr>
      <w:bookmarkStart w:id="0" w:name="Par1450"/>
      <w:bookmarkEnd w:id="0"/>
      <w:r>
        <w:rPr>
          <w:sz w:val="28"/>
          <w:szCs w:val="28"/>
          <w:highlight w:val="yellow"/>
        </w:rPr>
        <w:t xml:space="preserve">Пищевые продукты, которые не допускается </w:t>
      </w:r>
    </w:p>
    <w:p>
      <w:pPr>
        <w:pStyle w:val="Normal"/>
        <w:autoSpaceDE w:val="fals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использовать в питании детей:</w:t>
      </w:r>
    </w:p>
    <w:p>
      <w:pPr>
        <w:pStyle w:val="Normal"/>
        <w:autoSpaceDE w:val="false"/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Мясо и мясопродукты:</w:t>
      </w:r>
    </w:p>
    <w:p>
      <w:pPr>
        <w:pStyle w:val="Normal"/>
        <w:autoSpaceDE w:val="false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мясо и субпродукты всех видов сельскохозяйственных животных, не прошедшие ветеринарный контроль;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мясо диких животных;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коллагенсодержащее сырье из мяса птицы;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мясо третьей и четвертой категории;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мясо с массовой долей костей, жировой и соединительной ткани свыше 20%;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субпродукты, кроме печени, языка, сердца;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кровяные и ливерные колбасы;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непотрошеная птица;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мясо водоплавающих птиц.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2. Блюда, изготовленные из мяса, птицы, рыбы: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рыба, не прошедшая ветеринарный контроль;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зельцы, изделия из мясной обрези, диафрагмы; рулеты из мякоти голов;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3. Консервы: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консервы с нарушением герметичности банок, бомбажные, банки с ржавчиной, деформированные, без этикеток.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4. Пищевые жиры: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сливочное масло жирностью ниже 72%;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жареные в жире (во фритюре) пищевые продукты и кулинарные изделия, чипсы.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5. Молоко и молочные продукты: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 xml:space="preserve">- молоко и молочные продукты из хозяйств, неблагополучных по заболеваемости сельскохозяйственных животных;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молоко, не прошедшее пастеризацию;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молочные продукты, творожные сырки с использованием растительных жиров;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молочные продукты и мороженое на основе растительных жиров;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творог из непастеризованного молока;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фляжная сметана и фляжный творог без термической обработки;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простокваша "самоквас".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6. Яйца: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яйца водоплавающих птиц;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яйца с загрязненной скорлупой, с насечкой, "тек", "бой";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яйца из хозяйств, неблагополучных по сальмонеллезам.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7. Кондитерские изделия: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кремовые кондитерские изделия (пирожные и торты) и кремы.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8. Прочие продукты и блюда: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пищевые продукты с истекшим сроком годности и признаками недоброкачественности;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остатки пищи от предыдущего приема пищи, приготовленной накануне;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окрошки и холодные супы;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макароны по-флотски (с мясным фаршем), макароны с рубленым яйцом;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яичница-глазунья;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паштеты и блинчики с мясом и творогом;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заливные блюда (мясные и рыбные), студни, форшмак из сельди;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сырокопченые мясные гастрономические изделия и колбасы;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грибы и кулинарные изделия, из них приготовленные;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квас, газированные напитки;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плодоовощная продукция с признаками порчи;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кофе натуральный;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/>
      </w:pPr>
      <w:r>
        <w:rPr>
          <w:sz w:val="28"/>
          <w:szCs w:val="28"/>
        </w:rPr>
        <w:t>- тонизирующие напитки, в том числе энергетические напитки, алкоголь;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холодные напитки и морсы (без термической обработки) из плодово-ягодного сырья;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ядра абрикосовой косточки, арахиса;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карамель, в том числе леденцовая;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539" w:hang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продукты, в том числе кондитерские изделия, содержащие алкоголь;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539" w:hanging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кумыс и другие кисломолочные продукты с содержанием этанола (более 0,5%);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жевательная резинка.</w:t>
      </w:r>
    </w:p>
    <w:p>
      <w:pPr>
        <w:pStyle w:val="Normal"/>
        <w:autoSpaceDE w:val="false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before="0"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851" w:header="0" w:top="1418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 CYR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100" w:after="100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100" w:after="1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numPr>
          <w:ilvl w:val="0"/>
          <w:numId w:val="0"/>
        </w:numPr>
        <w:autoSpaceDE w:val="false"/>
        <w:spacing w:before="0" w:after="0"/>
        <w:jc w:val="both"/>
        <w:outlineLvl w:val="0"/>
        <w:rPr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Приказ Минздравсоцразвития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 22111) </w:t>
      </w:r>
      <w:r>
        <w:rPr>
          <w:sz w:val="20"/>
        </w:rPr>
        <w:t>с изменениями,</w:t>
      </w:r>
      <w:r>
        <w:rPr>
          <w:sz w:val="18"/>
          <w:szCs w:val="18"/>
        </w:rPr>
        <w:t xml:space="preserve"> внесенными Приказом Минздрава России от 15.05.2013 N 296н (Зарегистрирован  Минюстом России 03.07.2013, регистрационный № 28970).</w:t>
      </w:r>
    </w:p>
    <w:p>
      <w:pPr>
        <w:pStyle w:val="Footnote"/>
        <w:jc w:val="both"/>
        <w:rPr>
          <w:sz w:val="18"/>
          <w:szCs w:val="18"/>
        </w:rPr>
      </w:pPr>
      <w:r>
        <w:rPr>
          <w:sz w:val="18"/>
          <w:szCs w:val="18"/>
        </w:rPr>
      </w:r>
    </w:p>
  </w:footnote>
  <w:footnote w:id="3">
    <w:p>
      <w:pPr>
        <w:pStyle w:val="Normal"/>
        <w:autoSpaceDE w:val="false"/>
        <w:spacing w:before="0" w:after="0"/>
        <w:jc w:val="both"/>
        <w:rPr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Приказ Минздравсоцразвития России от 31.01.2011 № 51н "Об утверждении национального календаря профилактических прививок и календаря профилактических прививок по эпидемическим показаниям" (Признан не нуждающимся в государственной регистрации письмом Минюста России от 17.02.2011, регистрационный №</w:t>
      </w:r>
      <w:r>
        <w:rPr>
          <w:sz w:val="20"/>
        </w:rPr>
        <w:t xml:space="preserve"> 01/8577-ДК).</w:t>
      </w:r>
    </w:p>
    <w:p>
      <w:pPr>
        <w:pStyle w:val="Normal"/>
        <w:autoSpaceDE w:val="false"/>
        <w:spacing w:before="100" w:after="100"/>
        <w:rPr>
          <w:sz w:val="20"/>
        </w:rPr>
      </w:pPr>
      <w:r>
        <w:rPr>
          <w:sz w:val="20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7"/>
      <w:numFmt w:val="decimal"/>
      <w:lvlText w:val="%1.%2."/>
      <w:lvlJc w:val="left"/>
      <w:pPr>
        <w:tabs>
          <w:tab w:val="num" w:pos="1998"/>
        </w:tabs>
        <w:ind w:left="1998" w:hanging="1290"/>
      </w:pPr>
      <w:rPr/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1290"/>
      </w:pPr>
      <w:rPr/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3414" w:hanging="1290"/>
      </w:pPr>
      <w:rPr/>
    </w:lvl>
    <w:lvl w:ilvl="4">
      <w:start w:val="1"/>
      <w:numFmt w:val="decimal"/>
      <w:lvlText w:val="%1.%2.%3.%4.%5."/>
      <w:lvlJc w:val="left"/>
      <w:pPr>
        <w:tabs>
          <w:tab w:val="num" w:pos="4122"/>
        </w:tabs>
        <w:ind w:left="4122" w:hanging="1290"/>
      </w:pPr>
      <w:rPr/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100" w:after="10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Cs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eastAsia="Times New Roman" w:cs="Times New Roman"/>
      <w:b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  <w:u w:val="none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Courier New" w:hAnsi="Courier New" w:cs="Courier New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  <w:color w:val="00000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Courier New" w:hAnsi="Courier New" w:cs="Courier New"/>
      <w:b w:val="false"/>
      <w:i w:val="false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Courier New" w:hAnsi="Courier New" w:cs="Courier New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Courier New" w:hAnsi="Courier New" w:cs="Courier New"/>
      <w:b w:val="false"/>
      <w:i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i w:val="false"/>
      <w:sz w:val="24"/>
      <w:szCs w:val="24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  <w:color w:val="000000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Courier New" w:hAnsi="Courier New" w:cs="Courier New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Courier New" w:hAnsi="Courier New" w:cs="Courier New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b w:val="false"/>
      <w:i w:val="false"/>
      <w:sz w:val="24"/>
      <w:szCs w:val="24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St4z0">
    <w:name w:val="WW8NumSt4z0"/>
    <w:qFormat/>
    <w:rPr>
      <w:rFonts w:ascii="Symbol" w:hAnsi="Symbol" w:cs="Symbol"/>
      <w:b w:val="false"/>
      <w:bCs w:val="false"/>
      <w:i w:val="false"/>
      <w:iCs w:val="false"/>
      <w:sz w:val="24"/>
      <w:szCs w:val="24"/>
      <w:u w:val="none"/>
    </w:rPr>
  </w:style>
  <w:style w:type="character" w:styleId="WW8NumSt6z0">
    <w:name w:val="WW8NumSt6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  <w:u w:val="none"/>
    </w:rPr>
  </w:style>
  <w:style w:type="character" w:styleId="Style10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Style10"/>
    <w:rPr/>
  </w:style>
  <w:style w:type="character" w:styleId="Post1">
    <w:name w:val="post1"/>
    <w:qFormat/>
    <w:rPr>
      <w:vanish w:val="false"/>
      <w:color w:val="888A8F"/>
      <w:sz w:val="22"/>
      <w:szCs w:val="22"/>
    </w:rPr>
  </w:style>
  <w:style w:type="character" w:styleId="Style11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  <w:lang w:val="en-US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00"/>
      <w:u w:val="single"/>
    </w:rPr>
  </w:style>
  <w:style w:type="character" w:styleId="Style12">
    <w:name w:val="Знак примечания"/>
    <w:qFormat/>
    <w:rPr>
      <w:sz w:val="16"/>
      <w:szCs w:val="1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2">
    <w:name w:val="Стиль Заголовок 2 + 12 пт Знак"/>
    <w:qFormat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styleId="Style13">
    <w:name w:val="Нижний колонтитул Знак"/>
    <w:qFormat/>
    <w:rPr>
      <w:sz w:val="24"/>
    </w:rPr>
  </w:style>
  <w:style w:type="character" w:styleId="EndnoteCharacters">
    <w:name w:val="Endnote Characters"/>
    <w:qFormat/>
    <w:rPr>
      <w:vertAlign w:val="superscript"/>
    </w:rPr>
  </w:style>
  <w:style w:type="character" w:styleId="Style14">
    <w:name w:val="Текст сноски Знак"/>
    <w:qFormat/>
    <w:rPr>
      <w:rFonts w:ascii="Arial" w:hAnsi="Arial" w:cs="Arial"/>
      <w:lang w:val="ru-RU" w:bidi="ar-SA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before="0" w:after="0"/>
      <w:jc w:val="both"/>
    </w:pPr>
    <w:rPr>
      <w:b/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Термин"/>
    <w:basedOn w:val="Normal"/>
    <w:next w:val="Normal"/>
    <w:qFormat/>
    <w:pPr>
      <w:spacing w:before="0" w:after="0"/>
    </w:pPr>
    <w:rPr/>
  </w:style>
  <w:style w:type="paragraph" w:styleId="H4">
    <w:name w:val="H4"/>
    <w:basedOn w:val="Normal"/>
    <w:next w:val="Normal"/>
    <w:qFormat/>
    <w:pPr>
      <w:keepNext w:val="true"/>
      <w:outlineLvl w:val="4"/>
    </w:pPr>
    <w:rPr>
      <w:b/>
    </w:rPr>
  </w:style>
  <w:style w:type="paragraph" w:styleId="TextBodyIndent">
    <w:name w:val="Body Text Indent"/>
    <w:basedOn w:val="Normal"/>
    <w:pPr>
      <w:spacing w:before="0" w:after="0"/>
      <w:ind w:firstLine="851"/>
      <w:jc w:val="both"/>
    </w:pPr>
    <w:rPr/>
  </w:style>
  <w:style w:type="paragraph" w:styleId="Bodytext">
    <w:name w:val="body_text"/>
    <w:qFormat/>
    <w:pPr>
      <w:widowControl/>
      <w:bidi w:val="0"/>
      <w:ind w:firstLine="709"/>
      <w:jc w:val="both"/>
    </w:pPr>
    <w:rPr>
      <w:rFonts w:ascii="Times New Roman CYR" w:hAnsi="Times New Roman CYR" w:eastAsia="Times New Roman" w:cs="Times New Roman CYR"/>
      <w:color w:val="auto"/>
      <w:sz w:val="24"/>
      <w:szCs w:val="20"/>
      <w:lang w:val="ru-RU" w:bidi="ar-SA" w:eastAsia="zh-CN"/>
    </w:rPr>
  </w:style>
  <w:style w:type="paragraph" w:styleId="Podtitl">
    <w:name w:val="Podtitl"/>
    <w:qFormat/>
    <w:pPr>
      <w:widowControl/>
      <w:suppressAutoHyphens w:val="true"/>
      <w:bidi w:val="0"/>
      <w:jc w:val="center"/>
    </w:pPr>
    <w:rPr>
      <w:rFonts w:ascii="Times New Roman CYR" w:hAnsi="Times New Roman CYR" w:eastAsia="Times New Roman" w:cs="Times New Roman CYR"/>
      <w:b/>
      <w:color w:val="auto"/>
      <w:sz w:val="22"/>
      <w:szCs w:val="20"/>
      <w:lang w:val="ru-RU" w:bidi="ar-SA" w:eastAsia="zh-CN"/>
    </w:rPr>
  </w:style>
  <w:style w:type="paragraph" w:styleId="Style16">
    <w:name w:val="Обычный (веб)"/>
    <w:basedOn w:val="Normal"/>
    <w:qFormat/>
    <w:pPr>
      <w:widowControl/>
      <w:spacing w:before="280" w:after="280"/>
    </w:pPr>
    <w:rPr>
      <w:szCs w:val="24"/>
    </w:rPr>
  </w:style>
  <w:style w:type="paragraph" w:styleId="FR1">
    <w:name w:val="FR1"/>
    <w:qFormat/>
    <w:pPr>
      <w:widowControl w:val="false"/>
      <w:suppressAutoHyphens w:val="true"/>
      <w:bidi w:val="0"/>
      <w:spacing w:lineRule="auto" w:line="252"/>
      <w:ind w:left="40" w:firstLine="240"/>
    </w:pPr>
    <w:rPr>
      <w:rFonts w:ascii="Times New Roman" w:hAnsi="Times New Roman" w:eastAsia="Arial" w:cs="Times New Roman"/>
      <w:b/>
      <w:bCs/>
      <w:color w:val="auto"/>
      <w:sz w:val="28"/>
      <w:szCs w:val="28"/>
      <w:lang w:val="ru-RU" w:bidi="ar-SA" w:eastAsia="zh-CN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Arial" w:cs="Arial"/>
      <w:color w:val="auto"/>
      <w:sz w:val="16"/>
      <w:szCs w:val="16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2"/>
    <w:basedOn w:val="Normal"/>
    <w:qFormat/>
    <w:pPr>
      <w:widowControl/>
      <w:overflowPunct w:val="false"/>
      <w:autoSpaceDE w:val="false"/>
      <w:spacing w:lineRule="auto" w:line="480" w:before="0" w:after="120"/>
      <w:textAlignment w:val="baseline"/>
    </w:pPr>
    <w:rPr>
      <w:sz w:val="20"/>
    </w:rPr>
  </w:style>
  <w:style w:type="paragraph" w:styleId="BodyTextIndent2">
    <w:name w:val="Body Text Indent 2"/>
    <w:basedOn w:val="Normal"/>
    <w:qFormat/>
    <w:pPr>
      <w:widowControl/>
      <w:spacing w:lineRule="auto" w:line="360" w:before="0" w:after="0"/>
      <w:ind w:firstLine="720"/>
      <w:jc w:val="both"/>
    </w:pPr>
    <w:rPr>
      <w:rFonts w:ascii="Bookman Old Style" w:hAnsi="Bookman Old Style" w:cs="Bookman Old Style"/>
    </w:rPr>
  </w:style>
  <w:style w:type="paragraph" w:styleId="TablCenter">
    <w:name w:val="Tabl_Center"/>
    <w:basedOn w:val="Bodytext"/>
    <w:qFormat/>
    <w:pPr>
      <w:suppressAutoHyphens w:val="true"/>
      <w:spacing w:lineRule="auto" w:line="216" w:before="20" w:after="20"/>
      <w:ind w:hanging="0"/>
      <w:jc w:val="center"/>
    </w:pPr>
    <w:rPr>
      <w:rFonts w:eastAsia="Arial"/>
      <w:sz w:val="22"/>
    </w:rPr>
  </w:style>
  <w:style w:type="paragraph" w:styleId="Footnote">
    <w:name w:val="Footnote Text"/>
    <w:basedOn w:val="Normal"/>
    <w:pPr>
      <w:autoSpaceDE w:val="false"/>
      <w:spacing w:before="0" w:after="0"/>
    </w:pPr>
    <w:rPr>
      <w:rFonts w:ascii="Arial" w:hAnsi="Arial" w:cs="Arial"/>
      <w:sz w:val="20"/>
    </w:rPr>
  </w:style>
  <w:style w:type="paragraph" w:styleId="21">
    <w:name w:val="Îñíîâíîé òåêñò 21"/>
    <w:basedOn w:val="Normal"/>
    <w:qFormat/>
    <w:pPr>
      <w:widowControl/>
      <w:tabs>
        <w:tab w:val="clear" w:pos="708"/>
        <w:tab w:val="left" w:pos="1069" w:leader="none"/>
      </w:tabs>
      <w:overflowPunct w:val="false"/>
      <w:autoSpaceDE w:val="false"/>
      <w:spacing w:lineRule="auto" w:line="360" w:before="0" w:after="0"/>
      <w:ind w:firstLine="709"/>
      <w:jc w:val="both"/>
      <w:textAlignment w:val="baseline"/>
    </w:pPr>
    <w:rPr>
      <w:szCs w:val="24"/>
    </w:rPr>
  </w:style>
  <w:style w:type="paragraph" w:styleId="7">
    <w:name w:val="Стиль7"/>
    <w:basedOn w:val="TextBody"/>
    <w:qFormat/>
    <w:pPr>
      <w:numPr>
        <w:ilvl w:val="0"/>
        <w:numId w:val="2"/>
      </w:numPr>
      <w:autoSpaceDE w:val="false"/>
      <w:jc w:val="center"/>
    </w:pPr>
    <w:rPr>
      <w:rFonts w:ascii="Arial" w:hAnsi="Arial" w:cs="Arial"/>
      <w:bCs/>
      <w:color w:val="000000"/>
      <w:szCs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overflowPunct w:val="false"/>
      <w:autoSpaceDE w:val="false"/>
      <w:spacing w:before="0" w:after="0"/>
      <w:ind w:firstLine="485"/>
      <w:jc w:val="both"/>
      <w:textAlignment w:val="baseline"/>
    </w:pPr>
    <w:rPr>
      <w:color w:val="000000"/>
      <w:sz w:val="28"/>
    </w:rPr>
  </w:style>
  <w:style w:type="paragraph" w:styleId="Normal1">
    <w:name w:val="LO-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Style18">
    <w:name w:val="Заголовок приложения"/>
    <w:basedOn w:val="Heading1"/>
    <w:qFormat/>
    <w:pPr>
      <w:keepNext w:val="true"/>
      <w:widowControl/>
      <w:numPr>
        <w:ilvl w:val="0"/>
        <w:numId w:val="0"/>
      </w:numPr>
      <w:autoSpaceDE w:val="true"/>
      <w:spacing w:before="0" w:after="0"/>
      <w:jc w:val="right"/>
    </w:pPr>
    <w:rPr>
      <w:rFonts w:ascii="Times New Roman" w:hAnsi="Times New Roman" w:cs="Times New Roman"/>
      <w:bCs w:val="false"/>
      <w:color w:val="000000"/>
      <w:sz w:val="28"/>
      <w:szCs w:val="28"/>
    </w:rPr>
  </w:style>
  <w:style w:type="paragraph" w:styleId="1">
    <w:name w:val="Нумерованный список1"/>
    <w:basedOn w:val="Normal"/>
    <w:qFormat/>
    <w:pPr>
      <w:widowControl/>
      <w:tabs>
        <w:tab w:val="clear" w:pos="708"/>
        <w:tab w:val="left" w:pos="360" w:leader="none"/>
      </w:tabs>
      <w:spacing w:before="0" w:after="0"/>
      <w:jc w:val="both"/>
    </w:pPr>
    <w:rPr/>
  </w:style>
  <w:style w:type="paragraph" w:styleId="Style19">
    <w:name w:val="Заголовок таблицы"/>
    <w:basedOn w:val="TextBody"/>
    <w:next w:val="Normal"/>
    <w:qFormat/>
    <w:pPr>
      <w:keepNext w:val="true"/>
      <w:keepLines/>
      <w:widowControl/>
      <w:autoSpaceDE w:val="false"/>
      <w:jc w:val="center"/>
    </w:pPr>
    <w:rPr>
      <w:bCs/>
      <w:sz w:val="24"/>
      <w:szCs w:val="28"/>
    </w:rPr>
  </w:style>
  <w:style w:type="paragraph" w:styleId="Style20">
    <w:name w:val="Таблица"/>
    <w:basedOn w:val="Normal"/>
    <w:qFormat/>
    <w:pPr>
      <w:keepLines/>
      <w:widowControl/>
      <w:spacing w:lineRule="exact" w:line="240" w:before="0" w:after="0"/>
    </w:pPr>
    <w:rPr/>
  </w:style>
  <w:style w:type="paragraph" w:styleId="Spisok">
    <w:name w:val="spisok"/>
    <w:basedOn w:val="Bodytext"/>
    <w:qFormat/>
    <w:pPr>
      <w:tabs>
        <w:tab w:val="clear" w:pos="708"/>
        <w:tab w:val="left" w:pos="993" w:leader="none"/>
        <w:tab w:val="left" w:pos="1129" w:leader="none"/>
      </w:tabs>
      <w:suppressAutoHyphens w:val="true"/>
      <w:ind w:left="1129" w:hanging="420"/>
    </w:pPr>
    <w:rPr>
      <w:rFonts w:eastAsia="Arial"/>
      <w:spacing w:val="4"/>
    </w:rPr>
  </w:style>
  <w:style w:type="paragraph" w:styleId="ConsTitle">
    <w:name w:val="Con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1">
    <w:name w:val="Знак Знак Знак Знак Знак Знак Знак Знак Знак Знак"/>
    <w:basedOn w:val="Normal"/>
    <w:qFormat/>
    <w:pPr>
      <w:widowControl/>
      <w:spacing w:before="280" w:after="280"/>
    </w:pPr>
    <w:rPr>
      <w:rFonts w:ascii="Tahoma" w:hAnsi="Tahoma" w:cs="Tahoma"/>
      <w:sz w:val="20"/>
      <w:lang w:val="en-US"/>
    </w:rPr>
  </w:style>
  <w:style w:type="paragraph" w:styleId="Style22">
    <w:name w:val="Таблица Знак Знак Знак Знак Знак Знак Знак"/>
    <w:basedOn w:val="Normal"/>
    <w:qFormat/>
    <w:pPr>
      <w:keepLines/>
      <w:widowControl/>
      <w:spacing w:lineRule="exact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widowControl/>
      <w:spacing w:before="0" w:after="0"/>
      <w:ind w:left="720" w:hanging="0"/>
      <w:contextualSpacing/>
    </w:pPr>
    <w:rPr>
      <w:szCs w:val="24"/>
    </w:rPr>
  </w:style>
  <w:style w:type="paragraph" w:styleId="Style24">
    <w:name w:val="Текст примечания"/>
    <w:basedOn w:val="Normal"/>
    <w:qFormat/>
    <w:pPr/>
    <w:rPr>
      <w:sz w:val="20"/>
    </w:rPr>
  </w:style>
  <w:style w:type="paragraph" w:styleId="Style25">
    <w:name w:val="Тема примечания"/>
    <w:basedOn w:val="Style24"/>
    <w:next w:val="Style24"/>
    <w:qFormat/>
    <w:pPr/>
    <w:rPr>
      <w:b/>
      <w:bCs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</w:pPr>
    <w:rPr>
      <w:rFonts w:ascii="Courier New" w:hAnsi="Courier New" w:cs="Courier New"/>
      <w:sz w:val="20"/>
    </w:rPr>
  </w:style>
  <w:style w:type="paragraph" w:styleId="22">
    <w:name w:val="Основной текст с отступом 2"/>
    <w:basedOn w:val="Normal"/>
    <w:qFormat/>
    <w:pPr>
      <w:spacing w:lineRule="auto" w:line="480" w:before="100" w:after="120"/>
      <w:ind w:left="283" w:hanging="0"/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bCs/>
      <w:color w:val="auto"/>
      <w:sz w:val="22"/>
      <w:szCs w:val="22"/>
      <w:lang w:val="ru-RU" w:bidi="ar-SA" w:eastAsia="zh-CN"/>
    </w:rPr>
  </w:style>
  <w:style w:type="paragraph" w:styleId="ListParagraph">
    <w:name w:val="List Paragraph"/>
    <w:basedOn w:val="Normal"/>
    <w:qFormat/>
    <w:pPr>
      <w:autoSpaceDE w:val="false"/>
      <w:spacing w:before="0" w:after="0"/>
      <w:ind w:firstLine="709"/>
      <w:jc w:val="both"/>
    </w:pPr>
    <w:rPr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16"/>
      <w:szCs w:val="16"/>
      <w:lang w:val="ru-RU" w:bidi="ar-SA" w:eastAsia="zh-CN"/>
    </w:rPr>
  </w:style>
  <w:style w:type="paragraph" w:styleId="211">
    <w:name w:val="Основной текст 21"/>
    <w:basedOn w:val="Normal"/>
    <w:qFormat/>
    <w:pPr>
      <w:spacing w:before="0" w:after="0"/>
      <w:ind w:firstLine="709"/>
      <w:jc w:val="both"/>
    </w:pPr>
    <w:rPr>
      <w:sz w:val="28"/>
      <w:szCs w:val="28"/>
    </w:rPr>
  </w:style>
  <w:style w:type="paragraph" w:styleId="Style26">
    <w:name w:val="Знак Знак Знак Знак"/>
    <w:basedOn w:val="Normal"/>
    <w:qFormat/>
    <w:pPr>
      <w:widowControl/>
      <w:spacing w:before="280" w:after="280"/>
    </w:pPr>
    <w:rPr>
      <w:rFonts w:ascii="Tahoma" w:hAnsi="Tahoma" w:cs="Tahoma"/>
      <w:sz w:val="20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08E149131AE2484375589599B7AA2EB93F45D5072EB6D4F03A955AFF1A5607EBF7864D61DA791AV2k6E" TargetMode="External"/><Relationship Id="rId3" Type="http://schemas.openxmlformats.org/officeDocument/2006/relationships/hyperlink" Target="consultantplus://offline/ref=9308E149131AE2484375589599B7AA2EB93F45D5072EB6D4F03A955AFF1A5607EBF7864D61DA791FV2k4E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2018-03-05T09:20:00Z</dcterms:created>
  <dc:creator>Степанов</dc:creator>
  <dc:description/>
  <cp:keywords> </cp:keywords>
  <dc:language>en-US</dc:language>
  <cp:lastModifiedBy>User</cp:lastModifiedBy>
  <cp:lastPrinted>2014-03-12T17:14:00Z</cp:lastPrinted>
  <dcterms:modified xsi:type="dcterms:W3CDTF">2018-03-05T09:20:00Z</dcterms:modified>
  <cp:revision>2</cp:revision>
  <dc:subject/>
  <dc:title>Государственное санитарно-эпидемиологическое нормирование</dc:title>
</cp:coreProperties>
</file>